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pPr>
      <w:r>
        <w:rPr>
          <w:color w:val="1a1618"/>
        </w:rPr>
        <w:t>Contratto-tipo</w:t>
      </w:r>
      <w:r>
        <w:rPr>
          <w:color w:val="1a1618"/>
          <w:spacing w:val="-20" w:percent="88"/>
        </w:rPr>
        <w:t xml:space="preserve"> </w:t>
      </w:r>
      <w:r>
        <w:rPr>
          <w:color w:val="1a1618"/>
        </w:rPr>
        <w:t>preliminare</w:t>
      </w:r>
      <w:r>
        <w:rPr>
          <w:color w:val="1a1618"/>
          <w:spacing w:val="-17" w:percent="90"/>
        </w:rPr>
        <w:t xml:space="preserve"> </w:t>
      </w:r>
      <w:r>
        <w:rPr>
          <w:color w:val="1a1618"/>
        </w:rPr>
        <w:t>di</w:t>
      </w:r>
      <w:r>
        <w:rPr>
          <w:color w:val="1a1618"/>
          <w:spacing w:val="-20" w:percent="88"/>
        </w:rPr>
        <w:t xml:space="preserve"> </w:t>
      </w:r>
      <w:r>
        <w:rPr>
          <w:color w:val="1a1618"/>
        </w:rPr>
        <w:t>compravendita</w:t>
      </w:r>
      <w:r>
        <w:rPr>
          <w:color w:val="1a1618"/>
          <w:spacing w:val="-20" w:percent="88"/>
        </w:rPr>
        <w:t xml:space="preserve"> </w:t>
      </w:r>
      <w:r>
        <w:rPr>
          <w:color w:val="1a1618"/>
          <w:spacing w:val="-2" w:percent="99"/>
        </w:rPr>
        <w:t>immobiliare</w:t>
      </w:r>
      <w:r/>
    </w:p>
    <w:p>
      <w:pPr>
        <w:pStyle w:val="para1"/>
        <w:ind w:left="0"/>
        <w:spacing/>
        <w:jc w:val="left"/>
        <w:rPr>
          <w:sz w:val="36"/>
        </w:rPr>
      </w:pPr>
      <w:r>
        <w:rPr>
          <w:sz w:val="36"/>
        </w:rPr>
      </w:r>
    </w:p>
    <w:p>
      <w:pPr>
        <w:pStyle w:val="para1"/>
        <w:ind w:left="0"/>
        <w:spacing/>
        <w:jc w:val="left"/>
        <w:rPr>
          <w:sz w:val="36"/>
        </w:rPr>
      </w:pPr>
      <w:r>
        <w:rPr>
          <w:sz w:val="36"/>
        </w:rPr>
      </w:r>
    </w:p>
    <w:p>
      <w:pPr>
        <w:pStyle w:val="para1"/>
        <w:ind w:left="0"/>
        <w:spacing/>
        <w:jc w:val="left"/>
        <w:rPr>
          <w:sz w:val="36"/>
        </w:rPr>
      </w:pPr>
      <w:r>
        <w:rPr>
          <w:sz w:val="36"/>
        </w:rPr>
      </w:r>
    </w:p>
    <w:p>
      <w:pPr>
        <w:pStyle w:val="para1"/>
        <w:ind w:left="0"/>
        <w:spacing/>
        <w:jc w:val="left"/>
        <w:rPr>
          <w:sz w:val="36"/>
        </w:rPr>
      </w:pPr>
      <w:r>
        <w:rPr>
          <w:sz w:val="36"/>
        </w:rPr>
      </w:r>
    </w:p>
    <w:p>
      <w:pPr>
        <w:pStyle w:val="para1"/>
        <w:ind w:left="0"/>
        <w:spacing/>
        <w:jc w:val="left"/>
        <w:rPr>
          <w:sz w:val="36"/>
        </w:rPr>
      </w:pPr>
      <w:r>
        <w:rPr>
          <w:sz w:val="36"/>
        </w:rPr>
      </w:r>
    </w:p>
    <w:p>
      <w:pPr>
        <w:pStyle w:val="para1"/>
        <w:ind w:left="0"/>
        <w:spacing/>
        <w:jc w:val="left"/>
        <w:rPr>
          <w:sz w:val="36"/>
        </w:rPr>
      </w:pPr>
      <w:r>
        <w:rPr>
          <w:sz w:val="36"/>
        </w:rPr>
      </w:r>
    </w:p>
    <w:p>
      <w:pPr>
        <w:pStyle w:val="para1"/>
        <w:ind w:left="0"/>
        <w:spacing/>
        <w:jc w:val="left"/>
        <w:rPr>
          <w:sz w:val="36"/>
        </w:rPr>
      </w:pPr>
      <w:r>
        <w:rPr>
          <w:sz w:val="36"/>
        </w:rPr>
      </w:r>
    </w:p>
    <w:p>
      <w:pPr>
        <w:pStyle w:val="para1"/>
        <w:ind w:left="0"/>
        <w:spacing w:before="223"/>
        <w:jc w:val="left"/>
        <w:rPr>
          <w:sz w:val="36"/>
        </w:rPr>
      </w:pPr>
      <w:r>
        <w:rPr>
          <w:sz w:val="36"/>
        </w:rPr>
      </w:r>
    </w:p>
    <w:p>
      <w:pPr>
        <w:pStyle w:val="para1"/>
        <w:spacing/>
        <w:jc w:val="left"/>
      </w:pPr>
      <w:r>
        <w:rPr>
          <w:color w:val="1a1618"/>
        </w:rPr>
        <w:t>Con</w:t>
      </w:r>
      <w:r>
        <w:rPr>
          <w:color w:val="1a1618"/>
          <w:spacing w:val="-5" w:percent="95"/>
        </w:rPr>
        <w:t xml:space="preserve"> </w:t>
      </w:r>
      <w:r>
        <w:rPr>
          <w:color w:val="1a1618"/>
        </w:rPr>
        <w:t>la</w:t>
      </w:r>
      <w:r>
        <w:rPr>
          <w:color w:val="1a1618"/>
          <w:spacing w:val="-3" w:percent="97"/>
        </w:rPr>
        <w:t xml:space="preserve"> </w:t>
      </w:r>
      <w:r>
        <w:rPr>
          <w:color w:val="1a1618"/>
        </w:rPr>
        <w:t>presente</w:t>
      </w:r>
      <w:r>
        <w:rPr>
          <w:color w:val="1a1618"/>
          <w:spacing w:val="-3" w:percent="97"/>
        </w:rPr>
        <w:t xml:space="preserve"> </w:t>
      </w:r>
      <w:r>
        <w:rPr>
          <w:color w:val="1a1618"/>
        </w:rPr>
        <w:t>scrittura</w:t>
      </w:r>
      <w:r>
        <w:rPr>
          <w:color w:val="1a1618"/>
          <w:spacing w:val="-4" w:percent="96"/>
        </w:rPr>
        <w:t xml:space="preserve"> </w:t>
      </w:r>
      <w:r>
        <w:rPr>
          <w:color w:val="1a1618"/>
        </w:rPr>
        <w:t>privata,</w:t>
      </w:r>
      <w:r>
        <w:rPr>
          <w:color w:val="1a1618"/>
          <w:spacing w:val="-3" w:percent="97"/>
        </w:rPr>
        <w:t xml:space="preserve"> </w:t>
      </w:r>
      <w:r>
        <w:rPr>
          <w:color w:val="1a1618"/>
        </w:rPr>
        <w:t>da</w:t>
      </w:r>
      <w:r>
        <w:rPr>
          <w:color w:val="1a1618"/>
          <w:spacing w:val="-3" w:percent="97"/>
        </w:rPr>
        <w:t xml:space="preserve"> </w:t>
      </w:r>
      <w:r>
        <w:rPr>
          <w:color w:val="1a1618"/>
        </w:rPr>
        <w:t>valere</w:t>
      </w:r>
      <w:r>
        <w:rPr>
          <w:color w:val="1a1618"/>
          <w:spacing w:val="-4" w:percent="96"/>
        </w:rPr>
        <w:t xml:space="preserve"> </w:t>
      </w:r>
      <w:r>
        <w:rPr>
          <w:color w:val="1a1618"/>
        </w:rPr>
        <w:t>a</w:t>
      </w:r>
      <w:r>
        <w:rPr>
          <w:color w:val="1a1618"/>
          <w:spacing w:val="-3" w:percent="97"/>
        </w:rPr>
        <w:t xml:space="preserve"> </w:t>
      </w:r>
      <w:r>
        <w:rPr>
          <w:color w:val="1a1618"/>
        </w:rPr>
        <w:t>ogni</w:t>
      </w:r>
      <w:r>
        <w:rPr>
          <w:color w:val="1a1618"/>
          <w:spacing w:val="-2" w:percent="98"/>
        </w:rPr>
        <w:t xml:space="preserve"> </w:t>
      </w:r>
      <w:r>
        <w:rPr>
          <w:color w:val="1a1618"/>
        </w:rPr>
        <w:t>effetto</w:t>
      </w:r>
      <w:r>
        <w:rPr>
          <w:color w:val="1a1618"/>
          <w:spacing w:val="-2" w:percent="98"/>
        </w:rPr>
        <w:t xml:space="preserve"> </w:t>
      </w:r>
      <w:r>
        <w:rPr>
          <w:color w:val="1a1618"/>
        </w:rPr>
        <w:t>di</w:t>
      </w:r>
      <w:r>
        <w:rPr>
          <w:color w:val="1a1618"/>
          <w:spacing w:val="-5" w:percent="95"/>
        </w:rPr>
        <w:t xml:space="preserve"> </w:t>
      </w:r>
      <w:r>
        <w:rPr>
          <w:color w:val="1a1618"/>
        </w:rPr>
        <w:t>legge,</w:t>
      </w:r>
      <w:r>
        <w:rPr>
          <w:color w:val="1a1618"/>
          <w:spacing w:val="-3" w:percent="97"/>
        </w:rPr>
        <w:t xml:space="preserve"> </w:t>
      </w:r>
      <w:r>
        <w:rPr>
          <w:color w:val="1a1618"/>
        </w:rPr>
        <w:t>i</w:t>
      </w:r>
      <w:r>
        <w:rPr>
          <w:color w:val="1a1618"/>
          <w:spacing w:val="-1" w:percent="99"/>
        </w:rPr>
        <w:t xml:space="preserve"> </w:t>
      </w:r>
      <w:r>
        <w:rPr>
          <w:color w:val="1a1618"/>
          <w:spacing w:val="-2" w:percent="98"/>
        </w:rPr>
        <w:t>signori:</w:t>
      </w:r>
      <w:r/>
    </w:p>
    <w:p>
      <w:pPr>
        <w:pStyle w:val="para1"/>
        <w:ind w:left="0"/>
        <w:spacing w:before="1"/>
        <w:jc w:val="left"/>
      </w:pPr>
      <w:r/>
    </w:p>
    <w:p>
      <w:pPr>
        <w:pStyle w:val="para5"/>
        <w:numPr>
          <w:ilvl w:val="0"/>
          <w:numId w:val="7"/>
        </w:numPr>
        <w:ind w:left="140" w:right="214" w:firstLine="0"/>
        <w:spacing/>
        <w:jc w:val="left"/>
        <w:tabs defTabSz="720">
          <w:tab w:val="left" w:pos="264" w:leader="none"/>
          <w:tab w:val="left" w:pos="3735" w:leader="none"/>
          <w:tab w:val="left" w:pos="3889" w:leader="none"/>
          <w:tab w:val="left" w:pos="4702" w:leader="none"/>
          <w:tab w:val="left" w:pos="6416" w:leader="none"/>
          <w:tab w:val="left" w:pos="7402" w:leader="none"/>
          <w:tab w:val="left" w:pos="8907" w:leader="none"/>
          <w:tab w:val="left" w:pos="9603" w:leader="none"/>
          <w:tab w:val="left" w:pos="9644" w:leader="none"/>
        </w:tabs>
      </w:pPr>
      <w:r>
        <w:rPr>
          <w:color w:val="1a1618"/>
        </w:rPr>
        <w:t xml:space="preserve">(Tizio) </w:t>
      </w:r>
      <w:r>
        <w:rPr>
          <w:color w:val="1a1618"/>
          <w:u w:color="191517" w:val="single"/>
        </w:rPr>
        <w:tab/>
      </w:r>
      <w:r>
        <w:rPr>
          <w:color w:val="1a1618"/>
        </w:rPr>
        <w:t xml:space="preserve">nato a </w:t>
      </w:r>
      <w:r>
        <w:rPr>
          <w:color w:val="1a1618"/>
          <w:u w:color="191517" w:val="single"/>
        </w:rPr>
        <w:tab/>
        <w:tab/>
      </w:r>
      <w:r>
        <w:rPr>
          <w:color w:val="1a1618"/>
        </w:rPr>
        <w:t xml:space="preserve">il giorno </w:t>
      </w:r>
      <w:r>
        <w:rPr>
          <w:color w:val="1a1618"/>
          <w:u w:color="191517" w:val="single"/>
        </w:rPr>
        <w:tab/>
        <w:tab/>
        <w:tab/>
        <w:tab/>
      </w:r>
      <w:r>
        <w:rPr>
          <w:color w:val="1a1618"/>
          <w:spacing w:val="-10" w:percent="90"/>
        </w:rPr>
        <w:t xml:space="preserve">, </w:t>
      </w:r>
      <w:r>
        <w:rPr>
          <w:color w:val="1a1618"/>
        </w:rPr>
        <w:t>residente a</w:t>
      </w:r>
      <w:r>
        <w:rPr>
          <w:color w:val="1a1618"/>
          <w:u w:color="191517" w:val="single"/>
        </w:rPr>
        <w:tab/>
        <w:tab/>
      </w:r>
      <w:r>
        <w:rPr>
          <w:color w:val="1a1618"/>
        </w:rPr>
        <w:t>, via</w:t>
      </w:r>
      <w:r>
        <w:rPr>
          <w:color w:val="1a1618"/>
          <w:u w:color="191517" w:val="single"/>
        </w:rPr>
        <w:tab/>
        <w:tab/>
        <w:tab/>
      </w:r>
      <w:r>
        <w:rPr>
          <w:color w:val="1a1618"/>
          <w:spacing w:val="-6" w:percent="94"/>
        </w:rPr>
        <w:t>n.</w:t>
      </w:r>
      <w:r>
        <w:rPr>
          <w:color w:val="1a1618"/>
          <w:u w:color="191517" w:val="single"/>
        </w:rPr>
        <w:tab/>
        <w:tab/>
      </w:r>
      <w:r>
        <w:rPr>
          <w:color w:val="1a1618"/>
          <w:spacing w:val="-10" w:percent="90"/>
        </w:rPr>
        <w:t xml:space="preserve">, </w:t>
      </w:r>
      <w:r>
        <w:rPr>
          <w:color w:val="1a1618"/>
        </w:rPr>
        <w:t xml:space="preserve">codice fiscale </w:t>
      </w:r>
      <w:r>
        <w:rPr>
          <w:color w:val="1a1618"/>
          <w:u w:color="191517" w:val="single"/>
        </w:rPr>
        <w:tab/>
        <w:tab/>
        <w:tab/>
      </w:r>
      <w:r>
        <w:rPr>
          <w:color w:val="1a1618"/>
        </w:rPr>
        <w:t>, di stato civile</w:t>
      </w:r>
      <w:r>
        <w:rPr>
          <w:color w:val="1a1618"/>
          <w:u w:color="191517" w:val="single"/>
        </w:rPr>
        <w:tab/>
        <w:tab/>
        <w:tab/>
      </w:r>
      <w:r>
        <w:rPr>
          <w:color w:val="1a1618"/>
        </w:rPr>
        <w:t>, in prosieguo denominata anche “Parte Promittente Venditrice”;</w:t>
      </w:r>
      <w:r/>
    </w:p>
    <w:p>
      <w:pPr>
        <w:pStyle w:val="para1"/>
        <w:ind w:left="0"/>
        <w:spacing/>
        <w:jc w:val="left"/>
      </w:pPr>
      <w:r/>
    </w:p>
    <w:p>
      <w:pPr>
        <w:pStyle w:val="para5"/>
        <w:numPr>
          <w:ilvl w:val="0"/>
          <w:numId w:val="7"/>
        </w:numPr>
        <w:ind w:left="140" w:right="197" w:firstLine="0"/>
        <w:spacing/>
        <w:jc w:val="left"/>
        <w:tabs defTabSz="720">
          <w:tab w:val="left" w:pos="264" w:leader="none"/>
          <w:tab w:val="left" w:pos="3582" w:leader="none"/>
          <w:tab w:val="left" w:pos="3728" w:leader="none"/>
          <w:tab w:val="left" w:pos="4702" w:leader="none"/>
          <w:tab w:val="left" w:pos="6476" w:leader="none"/>
          <w:tab w:val="left" w:pos="7676" w:leader="none"/>
          <w:tab w:val="left" w:pos="8357" w:leader="none"/>
          <w:tab w:val="left" w:pos="9649" w:leader="none"/>
        </w:tabs>
      </w:pPr>
      <w:r>
        <w:rPr>
          <w:color w:val="1a1618"/>
          <w:spacing w:val="-2" w:percent="98"/>
        </w:rPr>
        <w:t>(Caio)</w:t>
      </w:r>
      <w:r>
        <w:rPr>
          <w:color w:val="1a1618"/>
          <w:u w:color="191517" w:val="single"/>
        </w:rPr>
        <w:tab/>
      </w:r>
      <w:r>
        <w:rPr>
          <w:color w:val="1a1618"/>
        </w:rPr>
        <w:t>, nato a</w:t>
      </w:r>
      <w:r>
        <w:rPr>
          <w:color w:val="1a1618"/>
          <w:u w:color="191517" w:val="single"/>
        </w:rPr>
        <w:tab/>
        <w:tab/>
      </w:r>
      <w:r>
        <w:rPr>
          <w:color w:val="1a1618"/>
        </w:rPr>
        <w:t xml:space="preserve">il giorno </w:t>
      </w:r>
      <w:r>
        <w:rPr>
          <w:color w:val="1a1618"/>
          <w:u w:color="191517" w:val="single"/>
        </w:rPr>
        <w:tab/>
        <w:tab/>
        <w:tab/>
      </w:r>
      <w:r>
        <w:rPr>
          <w:color w:val="1a1618"/>
          <w:spacing w:val="-10" w:percent="90"/>
        </w:rPr>
        <w:t xml:space="preserve">, </w:t>
      </w:r>
      <w:r>
        <w:rPr>
          <w:color w:val="1a1618"/>
        </w:rPr>
        <w:t>residente a</w:t>
      </w:r>
      <w:r>
        <w:rPr>
          <w:color w:val="1a1618"/>
          <w:u w:color="191517" w:val="single"/>
        </w:rPr>
        <w:tab/>
        <w:tab/>
      </w:r>
      <w:r>
        <w:rPr>
          <w:color w:val="1a1618"/>
        </w:rPr>
        <w:t>, via</w:t>
      </w:r>
      <w:r>
        <w:rPr>
          <w:color w:val="1a1618"/>
          <w:u w:color="191517" w:val="single"/>
        </w:rPr>
        <w:tab/>
        <w:tab/>
        <w:tab/>
      </w:r>
      <w:r>
        <w:rPr>
          <w:color w:val="1a1618"/>
        </w:rPr>
        <w:t xml:space="preserve">n. </w:t>
      </w:r>
      <w:r>
        <w:rPr>
          <w:color w:val="1a1618"/>
          <w:u w:color="191517" w:val="single"/>
        </w:rPr>
        <w:tab/>
        <w:tab/>
      </w:r>
      <w:r>
        <w:rPr>
          <w:color w:val="1a1618"/>
          <w:spacing w:val="-44" w:percent="56"/>
          <w:u w:color="191517" w:val="single"/>
        </w:rPr>
        <w:t xml:space="preserve"> </w:t>
      </w:r>
      <w:r>
        <w:rPr>
          <w:color w:val="1a1618"/>
          <w:spacing w:val="-8" w:percent="92"/>
        </w:rPr>
        <w:t xml:space="preserve">, </w:t>
      </w:r>
      <w:r>
        <w:rPr>
          <w:color w:val="1a1618"/>
        </w:rPr>
        <w:t xml:space="preserve">codice fiscale </w:t>
      </w:r>
      <w:r>
        <w:rPr>
          <w:color w:val="1a1618"/>
          <w:u w:color="191517" w:val="single"/>
        </w:rPr>
        <w:tab/>
        <w:tab/>
        <w:tab/>
      </w:r>
      <w:r>
        <w:rPr>
          <w:color w:val="1a1618"/>
        </w:rPr>
        <w:t>, di stato civile</w:t>
      </w:r>
      <w:r>
        <w:rPr>
          <w:color w:val="1a1618"/>
          <w:u w:color="191517" w:val="single"/>
        </w:rPr>
        <w:tab/>
        <w:tab/>
        <w:tab/>
      </w:r>
      <w:r>
        <w:rPr>
          <w:color w:val="1a1618"/>
        </w:rPr>
        <w:t>, in prosieguo denominato anche “Parte Promissaria Acquirente”,</w:t>
      </w:r>
      <w:r/>
    </w:p>
    <w:p>
      <w:pPr>
        <w:pStyle w:val="para1"/>
        <w:ind w:left="0"/>
        <w:spacing w:before="3"/>
        <w:jc w:val="left"/>
      </w:pPr>
      <w:r/>
    </w:p>
    <w:p>
      <w:pPr>
        <w:ind w:left="2"/>
        <w:spacing w:before="1"/>
        <w:jc w:val="center"/>
        <w:rPr>
          <w:b/>
          <w:sz w:val="28"/>
        </w:rPr>
      </w:pPr>
      <w:r>
        <w:rPr>
          <w:b/>
          <w:color w:val="1a1618"/>
          <w:sz w:val="28"/>
        </w:rPr>
        <w:t>convengono</w:t>
      </w:r>
      <w:r>
        <w:rPr>
          <w:b/>
          <w:color w:val="1a1618"/>
          <w:spacing w:val="-7" w:percent="95"/>
          <w:sz w:val="28"/>
        </w:rPr>
        <w:t xml:space="preserve"> </w:t>
      </w:r>
      <w:r>
        <w:rPr>
          <w:b/>
          <w:color w:val="1a1618"/>
          <w:sz w:val="28"/>
        </w:rPr>
        <w:t>e</w:t>
      </w:r>
      <w:r>
        <w:rPr>
          <w:b/>
          <w:color w:val="1a1618"/>
          <w:spacing w:val="-5" w:percent="96"/>
          <w:sz w:val="28"/>
        </w:rPr>
        <w:t xml:space="preserve"> </w:t>
      </w:r>
      <w:r>
        <w:rPr>
          <w:b/>
          <w:color w:val="1a1618"/>
          <w:sz w:val="28"/>
        </w:rPr>
        <w:t>stipulano</w:t>
      </w:r>
      <w:r>
        <w:rPr>
          <w:b/>
          <w:color w:val="1a1618"/>
          <w:spacing w:val="-4" w:percent="97"/>
          <w:sz w:val="28"/>
        </w:rPr>
        <w:t xml:space="preserve"> </w:t>
      </w:r>
      <w:r>
        <w:rPr>
          <w:b/>
          <w:color w:val="1a1618"/>
          <w:sz w:val="28"/>
        </w:rPr>
        <w:t>quanto</w:t>
      </w:r>
      <w:r>
        <w:rPr>
          <w:b/>
          <w:color w:val="1a1618"/>
          <w:spacing w:val="-4" w:percent="97"/>
          <w:sz w:val="28"/>
        </w:rPr>
        <w:t xml:space="preserve"> </w:t>
      </w:r>
      <w:r>
        <w:rPr>
          <w:b/>
          <w:color w:val="1a1618"/>
          <w:spacing w:val="-1" w:percent="99"/>
          <w:sz w:val="28"/>
        </w:rPr>
        <w:t>segue.</w:t>
      </w:r>
      <w:r>
        <w:rPr>
          <w:b/>
          <w:sz w:val="28"/>
        </w:rPr>
      </w:r>
    </w:p>
    <w:p>
      <w:pPr>
        <w:pStyle w:val="para2"/>
        <w:numPr>
          <w:ilvl w:val="0"/>
          <w:numId w:val="6"/>
        </w:numPr>
        <w:ind w:left="379" w:hanging="239"/>
        <w:spacing w:before="250"/>
        <w:jc w:val="left"/>
        <w:tabs defTabSz="720">
          <w:tab w:val="left" w:pos="379" w:leader="none"/>
        </w:tabs>
        <w:rPr>
          <w:color w:val="1a1618"/>
        </w:rPr>
      </w:pPr>
      <w:r>
        <w:rPr>
          <w:color w:val="1a1618"/>
        </w:rPr>
        <w:t>Oggetto</w:t>
      </w:r>
      <w:r>
        <w:rPr>
          <w:color w:val="1a1618"/>
          <w:spacing w:val="-8" w:percent="93"/>
        </w:rPr>
        <w:t xml:space="preserve"> </w:t>
      </w:r>
      <w:r>
        <w:rPr>
          <w:color w:val="1a1618"/>
        </w:rPr>
        <w:t>del</w:t>
      </w:r>
      <w:r>
        <w:rPr>
          <w:color w:val="1a1618"/>
          <w:spacing w:val="-7" w:percent="94"/>
        </w:rPr>
        <w:t xml:space="preserve"> </w:t>
      </w:r>
      <w:r>
        <w:rPr>
          <w:color w:val="1a1618"/>
          <w:spacing w:val="-2" w:percent="98"/>
        </w:rPr>
        <w:t>contratto</w:t>
      </w:r>
      <w:r>
        <w:rPr>
          <w:color w:val="1a1618"/>
        </w:rPr>
      </w:r>
    </w:p>
    <w:p>
      <w:pPr>
        <w:pStyle w:val="para1"/>
        <w:ind w:right="136"/>
        <w:spacing/>
        <w:jc w:val="left"/>
        <w:tabs defTabSz="720">
          <w:tab w:val="left" w:pos="3433" w:leader="none"/>
          <w:tab w:val="left" w:pos="3651" w:leader="none"/>
          <w:tab w:val="left" w:pos="3829" w:leader="none"/>
          <w:tab w:val="left" w:pos="5410" w:leader="none"/>
          <w:tab w:val="left" w:pos="9615" w:leader="none"/>
          <w:tab w:val="left" w:pos="9666" w:leader="none"/>
        </w:tabs>
      </w:pPr>
      <w:r>
        <w:rPr>
          <w:color w:val="1a1618"/>
        </w:rPr>
        <w:t xml:space="preserve">(Tizio) </w:t>
      </w:r>
      <w:r>
        <w:rPr>
          <w:color w:val="1a1618"/>
          <w:u w:color="191517" w:val="single"/>
        </w:rPr>
        <w:tab/>
        <w:tab/>
        <w:tab/>
      </w:r>
      <w:r>
        <w:rPr>
          <w:color w:val="1a1618"/>
        </w:rPr>
        <w:t>si obbliga a cedere e vendere a (Caio)</w:t>
      </w:r>
      <w:r>
        <w:rPr>
          <w:color w:val="1a1618"/>
          <w:u w:color="191517" w:val="single"/>
        </w:rPr>
        <w:tab/>
      </w:r>
      <w:r>
        <w:rPr>
          <w:color w:val="1a1618"/>
          <w:spacing w:val="-51" w:percent="50"/>
          <w:u w:color="191517" w:val="single"/>
        </w:rPr>
        <w:t xml:space="preserve"> </w:t>
      </w:r>
      <w:r>
        <w:rPr>
          <w:color w:val="1a1618"/>
          <w:spacing w:val="-6" w:percent="94"/>
        </w:rPr>
        <w:t xml:space="preserve">, </w:t>
      </w:r>
      <w:r>
        <w:rPr>
          <w:color w:val="1a1618"/>
        </w:rPr>
        <w:t>che si obbliga ad acquistare per sé, persona, impresa o ente da nominare al momento della stipula del definitivo, l’intera piena proprietà dell’unità immobiliare sita nel Comune di</w:t>
      </w:r>
      <w:r>
        <w:rPr>
          <w:color w:val="1a1618"/>
          <w:u w:color="191517" w:val="single"/>
        </w:rPr>
        <w:tab/>
        <w:tab/>
      </w:r>
      <w:r>
        <w:rPr>
          <w:color w:val="1a1618"/>
          <w:spacing w:val="-10" w:percent="90"/>
        </w:rPr>
        <w:t xml:space="preserve">, </w:t>
      </w:r>
      <w:r>
        <w:rPr>
          <w:color w:val="1a1618"/>
          <w:spacing w:val="-4" w:percent="96"/>
        </w:rPr>
        <w:t>via</w:t>
      </w:r>
      <w:r>
        <w:rPr>
          <w:color w:val="1a1618"/>
          <w:u w:color="191517" w:val="single"/>
        </w:rPr>
        <w:tab/>
      </w:r>
      <w:r>
        <w:rPr>
          <w:color w:val="1a1618"/>
          <w:spacing w:val="-6" w:percent="94"/>
        </w:rPr>
        <w:t>n.</w:t>
      </w:r>
      <w:r>
        <w:rPr>
          <w:color w:val="1a1618"/>
          <w:u w:color="191517" w:val="single"/>
        </w:rPr>
        <w:tab/>
        <w:tab/>
        <w:tab/>
      </w:r>
      <w:r>
        <w:rPr>
          <w:color w:val="1a1618"/>
        </w:rPr>
        <w:t>, costituita da</w:t>
      </w:r>
      <w:r>
        <w:rPr>
          <w:color w:val="1a1618"/>
          <w:u w:color="191517" w:val="single"/>
        </w:rPr>
        <w:tab/>
      </w:r>
      <w:r>
        <w:rPr>
          <w:color w:val="1a1618"/>
          <w:spacing w:val="-6" w:percent="94"/>
        </w:rPr>
        <w:t xml:space="preserve">al </w:t>
      </w:r>
      <w:r>
        <w:rPr>
          <w:color w:val="1a1618"/>
          <w:spacing w:val="-2" w:percent="98"/>
        </w:rPr>
        <w:t>piano</w:t>
      </w:r>
      <w:r>
        <w:rPr>
          <w:color w:val="1a1618"/>
          <w:u w:color="191517" w:val="single"/>
        </w:rPr>
        <w:tab/>
        <w:tab/>
      </w:r>
      <w:r>
        <w:rPr>
          <w:color w:val="1a1618"/>
        </w:rPr>
        <w:t>, con relativi accessori e pertinenze, il tutto così distinto in catasto:</w:t>
      </w:r>
      <w:r/>
    </w:p>
    <w:p>
      <w:pPr>
        <w:pStyle w:val="para1"/>
        <w:ind w:left="0"/>
        <w:spacing/>
        <w:jc w:val="left"/>
      </w:pPr>
      <w:r/>
    </w:p>
    <w:p>
      <w:pPr>
        <w:pStyle w:val="para1"/>
        <w:ind w:right="142"/>
        <w:spacing/>
        <w:jc w:val="left"/>
        <w:tabs defTabSz="720">
          <w:tab w:val="left" w:pos="4856" w:leader="none"/>
          <w:tab w:val="left" w:pos="9747" w:leader="none"/>
        </w:tabs>
      </w:pPr>
      <w:r>
        <w:rPr>
          <w:color w:val="1a1618"/>
        </w:rPr>
        <w:t xml:space="preserve">CATASTO FABBRICATI - COMUNE DI </w:t>
      </w:r>
      <w:r>
        <w:rPr>
          <w:color w:val="1a1618"/>
          <w:u w:color="191517" w:val="single"/>
        </w:rPr>
        <w:tab/>
        <w:tab/>
      </w:r>
      <w:r>
        <w:rPr>
          <w:color w:val="1a1618"/>
          <w:spacing w:val="-49" w:percent="51"/>
          <w:u w:color="191517" w:val="single"/>
        </w:rPr>
        <w:t xml:space="preserve"> </w:t>
      </w:r>
      <w:r>
        <w:rPr>
          <w:color w:val="1a1618"/>
        </w:rPr>
        <w:t xml:space="preserve"> SEZIONE </w:t>
      </w:r>
      <w:r>
        <w:rPr>
          <w:color w:val="1a1618"/>
          <w:u w:color="191517" w:val="single"/>
        </w:rPr>
        <w:tab/>
      </w:r>
      <w:r>
        <w:rPr>
          <w:color w:val="1a1618"/>
        </w:rPr>
        <w:t xml:space="preserve">- FOGLIO </w:t>
      </w:r>
      <w:r>
        <w:rPr>
          <w:color w:val="1a1618"/>
          <w:u w:color="191517" w:val="single"/>
        </w:rPr>
        <w:tab/>
      </w:r>
      <w:r/>
    </w:p>
    <w:p>
      <w:pPr>
        <w:pStyle w:val="para1"/>
        <w:spacing w:before="1" w:line="252" w:lineRule="exact"/>
        <w:jc w:val="left"/>
        <w:tabs defTabSz="720">
          <w:tab w:val="left" w:pos="4923" w:leader="none"/>
          <w:tab w:val="left" w:pos="9670" w:leader="none"/>
        </w:tabs>
      </w:pPr>
      <w:r>
        <w:rPr>
          <w:color w:val="1a1618"/>
          <w:spacing w:val="-2" w:percent="98"/>
        </w:rPr>
        <w:t>Mappale</w:t>
      </w:r>
      <w:r>
        <w:rPr>
          <w:color w:val="1a1618"/>
          <w:u w:color="191517" w:val="single"/>
        </w:rPr>
        <w:tab/>
      </w:r>
      <w:r>
        <w:rPr>
          <w:color w:val="1a1618"/>
          <w:spacing w:val="-2" w:percent="98"/>
        </w:rPr>
        <w:t>Subalterno</w:t>
      </w:r>
      <w:r>
        <w:rPr>
          <w:color w:val="1a1618"/>
          <w:u w:color="191517" w:val="single"/>
        </w:rPr>
        <w:tab/>
      </w:r>
      <w:r>
        <w:rPr>
          <w:color w:val="1a1618"/>
          <w:spacing w:val="-10" w:percent="90"/>
        </w:rPr>
        <w:t>,</w:t>
      </w:r>
      <w:r/>
    </w:p>
    <w:p>
      <w:pPr>
        <w:pStyle w:val="para1"/>
        <w:ind w:right="120"/>
        <w:tabs defTabSz="720">
          <w:tab w:val="left" w:pos="3082" w:leader="none"/>
          <w:tab w:val="left" w:pos="4697" w:leader="none"/>
          <w:tab w:val="left" w:pos="6358" w:leader="none"/>
          <w:tab w:val="left" w:pos="6646" w:leader="none"/>
          <w:tab w:val="left" w:pos="9694" w:leader="none"/>
          <w:tab w:val="left" w:pos="9793" w:leader="none"/>
        </w:tabs>
      </w:pPr>
      <w:r>
        <w:rPr>
          <w:color w:val="1a1618"/>
        </w:rPr>
        <w:t xml:space="preserve">z.c. </w:t>
      </w:r>
      <w:r>
        <w:rPr>
          <w:color w:val="1a1618"/>
          <w:u w:color="191517" w:val="single"/>
        </w:rPr>
        <w:tab/>
      </w:r>
      <w:r>
        <w:rPr>
          <w:color w:val="1a1618"/>
        </w:rPr>
        <w:t>, classe,</w:t>
      </w:r>
      <w:r>
        <w:rPr>
          <w:color w:val="1a1618"/>
          <w:u w:color="191517" w:val="single"/>
        </w:rPr>
        <w:tab/>
        <w:tab/>
      </w:r>
      <w:r>
        <w:rPr>
          <w:color w:val="1a1618"/>
        </w:rPr>
        <w:t xml:space="preserve">, categoria </w:t>
      </w:r>
      <w:r>
        <w:rPr>
          <w:color w:val="1a1618"/>
          <w:u w:color="191517" w:val="single"/>
        </w:rPr>
        <w:tab/>
      </w:r>
      <w:r>
        <w:rPr>
          <w:color w:val="1a1618"/>
          <w:spacing w:val="-10" w:percent="90"/>
        </w:rPr>
        <w:t xml:space="preserve">, </w:t>
      </w:r>
      <w:r>
        <w:rPr>
          <w:color w:val="1a1618"/>
        </w:rPr>
        <w:t>rendita catastale</w:t>
      </w:r>
      <w:r>
        <w:rPr>
          <w:color w:val="1a1618"/>
          <w:u w:color="191517" w:val="single"/>
        </w:rPr>
        <w:tab/>
        <w:tab/>
      </w:r>
      <w:r>
        <w:rPr>
          <w:color w:val="1a1618"/>
        </w:rPr>
        <w:t xml:space="preserve">vani o superficie </w:t>
      </w:r>
      <w:r>
        <w:rPr>
          <w:color w:val="1a1618"/>
          <w:u w:color="191517" w:val="single"/>
        </w:rPr>
        <w:tab/>
        <w:tab/>
        <w:tab/>
        <w:tab/>
      </w:r>
      <w:r>
        <w:rPr>
          <w:color w:val="1a1618"/>
        </w:rPr>
        <w:t xml:space="preserve"> </w:t>
      </w:r>
      <w:r>
        <w:rPr>
          <w:color w:val="1a1618"/>
          <w:spacing w:val="-2" w:percent="98"/>
        </w:rPr>
        <w:t>CONFINI:</w:t>
      </w:r>
      <w:r>
        <w:rPr>
          <w:color w:val="1a1618"/>
          <w:u w:color="191517" w:val="single"/>
        </w:rPr>
        <w:tab/>
        <w:tab/>
        <w:tab/>
        <w:tab/>
      </w:r>
      <w:r>
        <w:rPr>
          <w:color w:val="1a1618"/>
        </w:rPr>
        <w:t>. Salvi i più precisi e come in fatto.</w:t>
      </w:r>
      <w:r/>
    </w:p>
    <w:p>
      <w:pPr>
        <w:pStyle w:val="para1"/>
        <w:ind w:left="0"/>
        <w:spacing/>
        <w:jc w:val="left"/>
      </w:pPr>
      <w:r/>
    </w:p>
    <w:p>
      <w:pPr>
        <w:pStyle w:val="para1"/>
        <w:ind w:right="132"/>
        <w:tabs defTabSz="720">
          <w:tab w:val="left" w:pos="5514" w:leader="none"/>
        </w:tabs>
      </w:pPr>
      <w:r>
        <w:rPr>
          <w:color w:val="1a1618"/>
        </w:rPr>
        <w:t>PLANIMETRIA: a esatta identificazione di quanto promesso in vendita e della sua consistenza e confinazione le Parti fanno espresso riferimento alla planimetria catastale che, dalle stesse controfirmata, si allega al presente atto sotto la lettera “</w:t>
      </w:r>
      <w:r>
        <w:rPr>
          <w:color w:val="1a1618"/>
          <w:u w:color="191517" w:val="single"/>
        </w:rPr>
        <w:tab/>
      </w:r>
      <w:r>
        <w:rPr>
          <w:color w:val="1a1618"/>
        </w:rPr>
        <w:t>” e che le Parti dichiarano e riconoscono essere conforme allo stato di fatto.</w:t>
      </w:r>
      <w:r/>
    </w:p>
    <w:p>
      <w:pPr>
        <w:pStyle w:val="para1"/>
        <w:ind w:left="0"/>
        <w:spacing/>
        <w:jc w:val="left"/>
      </w:pPr>
      <w:r/>
    </w:p>
    <w:p>
      <w:pPr>
        <w:pStyle w:val="para1"/>
        <w:ind w:right="132"/>
      </w:pPr>
      <w:r>
        <w:rPr>
          <w:color w:val="1a1618"/>
        </w:rPr>
        <w:t>PARTI COMUNI: nella promessa vendita è pure compresa la quota di comproprietà sulle parti comuni al fabbricato di cui è di compendio quanto in oggetto e così su quanto previsto in comune dagli artt. 1117 e ss. c.c., per destinazione o per titolo.</w:t>
      </w:r>
      <w:r/>
    </w:p>
    <w:p>
      <w:pPr>
        <w:pStyle w:val="para1"/>
        <w:ind w:right="135"/>
        <w:spacing w:before="251"/>
      </w:pPr>
      <w:r>
        <w:rPr>
          <w:color w:val="1a1618"/>
        </w:rPr>
        <w:t>PROVENIENZA: dichiara la Parte Promittente Venditrice che il diritto di piena proprietà su quanto forma oggetto di quest’atto è a essa pervenuto come segue:</w:t>
      </w:r>
      <w:r/>
    </w:p>
    <w:p>
      <w:pPr>
        <w:sectPr>
          <w:footnotePr>
            <w:pos w:val="pageBottom"/>
            <w:numFmt w:val="decimal"/>
            <w:numStart w:val="1"/>
            <w:numRestart w:val="continuous"/>
          </w:footnotePr>
          <w:endnotePr>
            <w:pos w:val="docEnd"/>
            <w:numFmt w:val="lowerRoman"/>
            <w:numStart w:val="1"/>
            <w:numRestart w:val="continuous"/>
          </w:endnotePr>
          <w:type w:val="continuous"/>
          <w:pgSz w:h="16840" w:w="11900"/>
          <w:pgMar w:left="992" w:top="1340" w:right="992" w:bottom="280" w:header="0" w:footer="0"/>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5"/>
        <w:numPr>
          <w:ilvl w:val="0"/>
          <w:numId w:val="5"/>
        </w:numPr>
        <w:ind w:left="343" w:hanging="203"/>
        <w:spacing w:before="70"/>
        <w:tabs defTabSz="720">
          <w:tab w:val="left" w:pos="343" w:leader="none"/>
          <w:tab w:val="left" w:pos="7069" w:leader="none"/>
          <w:tab w:val="left" w:pos="9109" w:leader="none"/>
        </w:tabs>
      </w:pPr>
      <w:r>
        <w:rPr>
          <w:color w:val="1a1618"/>
        </w:rPr>
        <w:t>atto</w:t>
      </w:r>
      <w:r>
        <w:rPr>
          <w:color w:val="1a1618"/>
          <w:spacing w:val="76" w:percent="175"/>
        </w:rPr>
        <w:t xml:space="preserve"> </w:t>
      </w:r>
      <w:r>
        <w:rPr>
          <w:color w:val="1a1618"/>
        </w:rPr>
        <w:t>di</w:t>
      </w:r>
      <w:r>
        <w:rPr>
          <w:color w:val="1a1618"/>
          <w:spacing w:val="76" w:percent="175"/>
        </w:rPr>
        <w:t xml:space="preserve"> </w:t>
      </w:r>
      <w:r>
        <w:rPr>
          <w:color w:val="1a1618"/>
        </w:rPr>
        <w:t>compravendita</w:t>
      </w:r>
      <w:r>
        <w:rPr>
          <w:color w:val="1a1618"/>
          <w:spacing w:val="76" w:percent="175"/>
        </w:rPr>
        <w:t xml:space="preserve"> </w:t>
      </w:r>
      <w:r>
        <w:rPr>
          <w:color w:val="1a1618"/>
          <w:spacing w:val="-2" w:percent="98"/>
        </w:rPr>
        <w:t>notaio</w:t>
      </w:r>
      <w:r>
        <w:rPr>
          <w:color w:val="1a1618"/>
          <w:u w:color="191517" w:val="single"/>
        </w:rPr>
        <w:tab/>
      </w:r>
      <w:r>
        <w:rPr>
          <w:color w:val="1a1618"/>
          <w:spacing w:val="-5" w:percent="95"/>
        </w:rPr>
        <w:t>di</w:t>
      </w:r>
      <w:r>
        <w:rPr>
          <w:color w:val="1a1618"/>
          <w:u w:color="191517" w:val="single"/>
        </w:rPr>
        <w:tab/>
      </w:r>
      <w:r>
        <w:rPr>
          <w:color w:val="1a1618"/>
        </w:rPr>
        <w:t>in</w:t>
      </w:r>
      <w:r>
        <w:rPr>
          <w:color w:val="1a1618"/>
          <w:spacing w:val="78" w:percent="177"/>
        </w:rPr>
        <w:t xml:space="preserve"> </w:t>
      </w:r>
      <w:r>
        <w:rPr>
          <w:color w:val="1a1618"/>
          <w:spacing w:val="-4" w:percent="96"/>
        </w:rPr>
        <w:t>data</w:t>
      </w:r>
      <w:r/>
    </w:p>
    <w:p>
      <w:pPr>
        <w:pStyle w:val="para1"/>
        <w:ind w:right="79"/>
        <w:spacing w:before="1"/>
        <w:tabs defTabSz="720">
          <w:tab w:val="left" w:pos="3528" w:leader="none"/>
          <w:tab w:val="left" w:pos="4553" w:leader="none"/>
          <w:tab w:val="left" w:pos="9487" w:leader="none"/>
          <w:tab w:val="left" w:pos="9834" w:leader="none"/>
        </w:tabs>
      </w:pPr>
      <w:r>
        <w:rPr>
          <w:color w:val="1a1618"/>
        </w:rPr>
        <w:t xml:space="preserve">&lt;data&gt; con il n. </w:t>
      </w:r>
      <w:r>
        <w:rPr>
          <w:color w:val="1a1618"/>
          <w:u w:color="191517" w:val="single"/>
        </w:rPr>
        <w:tab/>
      </w:r>
      <w:r>
        <w:rPr>
          <w:color w:val="1a1618"/>
        </w:rPr>
        <w:t>di Repertorio, ivi registrato il giorno &lt;data&gt; al n.</w:t>
      </w:r>
      <w:r>
        <w:rPr>
          <w:color w:val="1a1618"/>
          <w:u w:color="191517" w:val="single"/>
        </w:rPr>
        <w:tab/>
      </w:r>
      <w:r>
        <w:rPr>
          <w:color w:val="1a1618"/>
          <w:spacing w:val="-4" w:percent="96"/>
        </w:rPr>
        <w:t xml:space="preserve">atti </w:t>
      </w:r>
      <w:r>
        <w:rPr>
          <w:color w:val="1a1618"/>
        </w:rPr>
        <w:t xml:space="preserve">[&lt;/pubblici/privati&gt;] e trascritto presso la Conservatoria dei Registri immobiliari di </w:t>
      </w:r>
      <w:r>
        <w:rPr>
          <w:color w:val="1a1618"/>
          <w:u w:color="191517" w:val="single"/>
        </w:rPr>
        <w:tab/>
        <w:tab/>
      </w:r>
      <w:r>
        <w:rPr>
          <w:color w:val="1a1618"/>
        </w:rPr>
        <w:t xml:space="preserve"> in data &lt;data&gt; ai n.ri</w:t>
      </w:r>
      <w:r>
        <w:rPr>
          <w:color w:val="1a1618"/>
          <w:u w:color="191517" w:val="single"/>
        </w:rPr>
        <w:tab/>
        <w:tab/>
      </w:r>
      <w:r>
        <w:rPr>
          <w:color w:val="1a1618"/>
          <w:spacing w:val="-10" w:percent="90"/>
        </w:rPr>
        <w:t>;</w:t>
      </w:r>
      <w:r/>
    </w:p>
    <w:p>
      <w:pPr>
        <w:ind w:left="140"/>
        <w:spacing w:line="252" w:lineRule="exact"/>
        <w:rPr>
          <w:i/>
        </w:rPr>
      </w:pPr>
      <w:r>
        <w:rPr>
          <w:i/>
          <w:color w:val="1a1618"/>
          <w:spacing w:val="-2" w:percent="98"/>
        </w:rPr>
        <w:t>oppure</w:t>
      </w:r>
      <w:r>
        <w:rPr>
          <w:i/>
        </w:rPr>
      </w:r>
    </w:p>
    <w:p>
      <w:pPr>
        <w:pStyle w:val="para5"/>
        <w:numPr>
          <w:ilvl w:val="0"/>
          <w:numId w:val="5"/>
        </w:numPr>
        <w:ind w:left="140" w:right="133" w:firstLine="0"/>
        <w:tabs defTabSz="720">
          <w:tab w:val="left" w:pos="264" w:leader="none"/>
          <w:tab w:val="left" w:pos="2504" w:leader="none"/>
          <w:tab w:val="left" w:pos="2598" w:leader="none"/>
          <w:tab w:val="left" w:pos="6906" w:leader="none"/>
          <w:tab w:val="left" w:pos="6994" w:leader="none"/>
          <w:tab w:val="left" w:pos="7299" w:leader="none"/>
          <w:tab w:val="left" w:pos="9605" w:leader="none"/>
          <w:tab w:val="left" w:pos="9704" w:leader="none"/>
          <w:tab w:val="left" w:pos="9776" w:leader="none"/>
        </w:tabs>
      </w:pPr>
      <w:r>
        <w:rPr>
          <w:color w:val="1a1618"/>
        </w:rPr>
        <w:t xml:space="preserve">successione &lt;/legittima/testamentaria&gt; in morte di </w:t>
      </w:r>
      <w:r>
        <w:rPr>
          <w:color w:val="1a1618"/>
          <w:u w:color="191517" w:val="single"/>
        </w:rPr>
        <w:tab/>
      </w:r>
      <w:r>
        <w:rPr>
          <w:color w:val="1a1618"/>
        </w:rPr>
        <w:t xml:space="preserve">, nat&lt;/o/a&gt; a </w:t>
      </w:r>
      <w:r>
        <w:rPr>
          <w:color w:val="1a1618"/>
          <w:u w:color="191517" w:val="single"/>
        </w:rPr>
        <w:tab/>
        <w:tab/>
        <w:tab/>
      </w:r>
      <w:r>
        <w:rPr>
          <w:color w:val="1a1618"/>
        </w:rPr>
        <w:t xml:space="preserve"> il giorno </w:t>
      </w:r>
      <w:r>
        <w:rPr>
          <w:color w:val="1a1618"/>
          <w:u w:color="191517" w:val="single"/>
        </w:rPr>
        <w:tab/>
        <w:tab/>
      </w:r>
      <w:r>
        <w:rPr>
          <w:color w:val="1a1618"/>
        </w:rPr>
        <w:t>e decedut&lt;/o/a&gt; a</w:t>
      </w:r>
      <w:r>
        <w:rPr>
          <w:color w:val="1a1618"/>
          <w:u w:color="191517" w:val="single"/>
        </w:rPr>
        <w:tab/>
        <w:tab/>
        <w:tab/>
      </w:r>
      <w:r>
        <w:rPr>
          <w:color w:val="1a1618"/>
        </w:rPr>
        <w:t>il giorno</w:t>
      </w:r>
      <w:r>
        <w:rPr>
          <w:color w:val="1a1618"/>
          <w:u w:color="191517" w:val="single"/>
        </w:rPr>
        <w:tab/>
        <w:tab/>
      </w:r>
      <w:r>
        <w:rPr>
          <w:color w:val="1a1618"/>
          <w:spacing w:val="-10" w:percent="90"/>
        </w:rPr>
        <w:t xml:space="preserve">, </w:t>
      </w:r>
      <w:r>
        <w:rPr>
          <w:color w:val="1a1618"/>
        </w:rPr>
        <w:t>di cui la dichiarazione di successione registrata a</w:t>
      </w:r>
      <w:r>
        <w:rPr>
          <w:color w:val="1a1618"/>
          <w:u w:color="191517" w:val="single"/>
        </w:rPr>
        <w:tab/>
        <w:tab/>
      </w:r>
      <w:r>
        <w:rPr>
          <w:color w:val="1a1618"/>
          <w:spacing w:val="-6" w:percent="94"/>
        </w:rPr>
        <w:t>il</w:t>
      </w:r>
      <w:r>
        <w:rPr>
          <w:color w:val="1a1618"/>
          <w:u w:color="191517" w:val="single"/>
        </w:rPr>
        <w:tab/>
        <w:tab/>
      </w:r>
      <w:r>
        <w:rPr>
          <w:color w:val="1a1618"/>
          <w:spacing w:val="-6" w:percent="94"/>
        </w:rPr>
        <w:t>al n.</w:t>
      </w:r>
      <w:r>
        <w:rPr>
          <w:color w:val="1a1618"/>
          <w:u w:color="191517" w:val="single"/>
        </w:rPr>
        <w:tab/>
      </w:r>
      <w:r>
        <w:rPr>
          <w:color w:val="1a1618"/>
        </w:rPr>
        <w:t>vol. e il relativo certificato trascritto presso la Conservatoria dei</w:t>
      </w:r>
      <w:r/>
    </w:p>
    <w:p>
      <w:pPr>
        <w:pStyle w:val="para1"/>
        <w:tabs defTabSz="720">
          <w:tab w:val="left" w:pos="3859" w:leader="none"/>
          <w:tab w:val="left" w:pos="6598" w:leader="none"/>
          <w:tab w:val="left" w:pos="9697" w:leader="none"/>
        </w:tabs>
      </w:pPr>
      <w:r>
        <w:rPr>
          <w:color w:val="1a1618"/>
        </w:rPr>
        <w:t>Registri</w:t>
      </w:r>
      <w:r>
        <w:rPr>
          <w:color w:val="1a1618"/>
          <w:spacing w:val="-4" w:percent="96"/>
        </w:rPr>
        <w:t xml:space="preserve"> </w:t>
      </w:r>
      <w:r>
        <w:rPr>
          <w:color w:val="1a1618"/>
        </w:rPr>
        <w:t>immobiliari</w:t>
      </w:r>
      <w:r>
        <w:rPr>
          <w:color w:val="1a1618"/>
          <w:spacing w:val="-4" w:percent="96"/>
        </w:rPr>
        <w:t xml:space="preserve"> </w:t>
      </w:r>
      <w:r>
        <w:rPr>
          <w:color w:val="1a1618"/>
          <w:spacing w:val="-5" w:percent="95"/>
        </w:rPr>
        <w:t>di</w:t>
      </w:r>
      <w:r>
        <w:rPr>
          <w:color w:val="1a1618"/>
          <w:u w:color="191517" w:val="single"/>
        </w:rPr>
        <w:tab/>
      </w:r>
      <w:r>
        <w:rPr>
          <w:color w:val="1a1618"/>
        </w:rPr>
        <w:t>in</w:t>
      </w:r>
      <w:r>
        <w:rPr>
          <w:color w:val="1a1618"/>
          <w:spacing w:val="1" w:percent="101"/>
        </w:rPr>
        <w:t xml:space="preserve"> </w:t>
      </w:r>
      <w:r>
        <w:rPr>
          <w:color w:val="1a1618"/>
          <w:spacing w:val="-4" w:percent="96"/>
        </w:rPr>
        <w:t>data</w:t>
      </w:r>
      <w:r>
        <w:rPr>
          <w:color w:val="1a1618"/>
          <w:u w:color="191517" w:val="single"/>
        </w:rPr>
        <w:tab/>
      </w:r>
      <w:r>
        <w:rPr>
          <w:color w:val="1a1618"/>
        </w:rPr>
        <w:t>ai</w:t>
      </w:r>
      <w:r>
        <w:rPr>
          <w:color w:val="1a1618"/>
          <w:spacing w:val="-2" w:percent="98"/>
        </w:rPr>
        <w:t xml:space="preserve"> </w:t>
      </w:r>
      <w:r>
        <w:rPr>
          <w:color w:val="1a1618"/>
          <w:spacing w:val="-4" w:percent="96"/>
        </w:rPr>
        <w:t>n.ri</w:t>
      </w:r>
      <w:r>
        <w:rPr>
          <w:color w:val="1a1618"/>
          <w:u w:color="191517" w:val="single"/>
        </w:rPr>
        <w:tab/>
      </w:r>
      <w:r>
        <w:rPr>
          <w:color w:val="1a1618"/>
          <w:spacing w:val="-10" w:percent="90"/>
        </w:rPr>
        <w:t>.</w:t>
      </w:r>
      <w:r/>
    </w:p>
    <w:p>
      <w:pPr>
        <w:pStyle w:val="para1"/>
        <w:ind w:left="0"/>
        <w:spacing w:before="1"/>
        <w:jc w:val="left"/>
      </w:pPr>
      <w:r/>
    </w:p>
    <w:p>
      <w:pPr>
        <w:pStyle w:val="para1"/>
        <w:ind w:right="132"/>
      </w:pPr>
      <w:r>
        <w:rPr>
          <w:color w:val="1a1618"/>
        </w:rPr>
        <w:t>Per effetto del presente contratto, pertanto, la Parte Promittente Venditrice rimane obbligata a prestare il proprio consenso per la stipula del contratto definitivo, e a procurare alla Parte Promissaria Acquirente l’acquisto del diritto di proprietà, come meglio sopra descritto</w:t>
      </w:r>
      <w:r>
        <w:rPr>
          <w:color w:val="1a1618"/>
          <w:vertAlign w:val="superscript"/>
        </w:rPr>
        <w:t>1</w:t>
      </w:r>
      <w:r>
        <w:rPr>
          <w:color w:val="1a1618"/>
        </w:rPr>
        <w:t>.</w:t>
      </w:r>
      <w:r/>
    </w:p>
    <w:p>
      <w:pPr>
        <w:pStyle w:val="para1"/>
        <w:ind w:left="0"/>
        <w:spacing w:before="5"/>
        <w:jc w:val="left"/>
      </w:pPr>
      <w:r/>
    </w:p>
    <w:p>
      <w:pPr>
        <w:pStyle w:val="para3"/>
        <w:numPr>
          <w:ilvl w:val="0"/>
          <w:numId w:val="6"/>
        </w:numPr>
        <w:ind w:left="360" w:hanging="220"/>
        <w:spacing w:line="250" w:lineRule="exact"/>
        <w:tabs defTabSz="720">
          <w:tab w:val="left" w:pos="360" w:leader="none"/>
        </w:tabs>
        <w:rPr>
          <w:color w:val="1a1618"/>
        </w:rPr>
      </w:pPr>
      <w:r>
        <w:rPr>
          <w:color w:val="1a1618"/>
        </w:rPr>
        <w:t>Garanzie</w:t>
      </w:r>
      <w:r>
        <w:rPr>
          <w:color w:val="1a1618"/>
          <w:spacing w:val="-4" w:percent="96"/>
        </w:rPr>
        <w:t xml:space="preserve"> </w:t>
      </w:r>
      <w:r>
        <w:rPr>
          <w:color w:val="1a1618"/>
        </w:rPr>
        <w:t>della</w:t>
      </w:r>
      <w:r>
        <w:rPr>
          <w:color w:val="1a1618"/>
          <w:spacing w:val="-7" w:percent="93"/>
        </w:rPr>
        <w:t xml:space="preserve"> </w:t>
      </w:r>
      <w:r>
        <w:rPr>
          <w:color w:val="1a1618"/>
        </w:rPr>
        <w:t>Parte</w:t>
      </w:r>
      <w:r>
        <w:rPr>
          <w:color w:val="1a1618"/>
          <w:spacing w:val="-5" w:percent="95"/>
        </w:rPr>
        <w:t xml:space="preserve"> </w:t>
      </w:r>
      <w:r>
        <w:rPr>
          <w:color w:val="1a1618"/>
        </w:rPr>
        <w:t>Promittente</w:t>
      </w:r>
      <w:r>
        <w:rPr>
          <w:color w:val="1a1618"/>
          <w:spacing w:val="-3" w:percent="97"/>
        </w:rPr>
        <w:t xml:space="preserve"> </w:t>
      </w:r>
      <w:r>
        <w:rPr>
          <w:color w:val="1a1618"/>
          <w:spacing w:val="-2" w:percent="98"/>
        </w:rPr>
        <w:t>Venditrice</w:t>
      </w:r>
      <w:r>
        <w:rPr>
          <w:color w:val="1a1618"/>
        </w:rPr>
      </w:r>
    </w:p>
    <w:p>
      <w:pPr>
        <w:pStyle w:val="para1"/>
        <w:ind w:right="132"/>
      </w:pPr>
      <w:r>
        <w:rPr>
          <w:color w:val="1a1618"/>
        </w:rPr>
        <w:t xml:space="preserve">La Parte Promittente Venditrice garantisce la piena proprietà dell’immobile </w:t>
      </w:r>
      <w:r>
        <w:rPr>
          <w:i/>
          <w:color w:val="1a1618"/>
        </w:rPr>
        <w:t>de quo</w:t>
      </w:r>
      <w:r>
        <w:rPr>
          <w:color w:val="1a1618"/>
        </w:rPr>
        <w:t>, l’agibilità, la sua disponibilità e la sua libertà da pesi, vincoli, oneri, iscrizioni e trascrizioni pregiudizievoli (se ci sono formalità),</w:t>
      </w:r>
      <w:r>
        <w:rPr>
          <w:color w:val="1a1618"/>
          <w:spacing w:val="6" w:percent="106"/>
        </w:rPr>
        <w:t xml:space="preserve"> </w:t>
      </w:r>
      <w:r>
        <w:rPr>
          <w:color w:val="1a1618"/>
        </w:rPr>
        <w:t>a</w:t>
      </w:r>
      <w:r>
        <w:rPr>
          <w:color w:val="1a1618"/>
          <w:spacing w:val="9" w:percent="109"/>
        </w:rPr>
        <w:t xml:space="preserve"> </w:t>
      </w:r>
      <w:r>
        <w:rPr>
          <w:color w:val="1a1618"/>
        </w:rPr>
        <w:t>eccezione</w:t>
      </w:r>
      <w:r>
        <w:rPr>
          <w:color w:val="1a1618"/>
          <w:spacing w:val="9" w:percent="109"/>
        </w:rPr>
        <w:t xml:space="preserve"> </w:t>
      </w:r>
      <w:r>
        <w:rPr>
          <w:color w:val="1a1618"/>
        </w:rPr>
        <w:t>della</w:t>
      </w:r>
      <w:r>
        <w:rPr>
          <w:color w:val="1a1618"/>
          <w:spacing w:val="9" w:percent="109"/>
        </w:rPr>
        <w:t xml:space="preserve"> </w:t>
      </w:r>
      <w:r>
        <w:rPr>
          <w:color w:val="1a1618"/>
        </w:rPr>
        <w:t>seguente</w:t>
      </w:r>
      <w:r>
        <w:rPr>
          <w:color w:val="1a1618"/>
          <w:spacing w:val="8" w:percent="108"/>
        </w:rPr>
        <w:t xml:space="preserve"> </w:t>
      </w:r>
      <w:r>
        <w:rPr>
          <w:color w:val="1a1618"/>
        </w:rPr>
        <w:t>formalità</w:t>
      </w:r>
      <w:r>
        <w:rPr>
          <w:color w:val="1a1618"/>
          <w:spacing w:val="9" w:percent="109"/>
        </w:rPr>
        <w:t xml:space="preserve"> </w:t>
      </w:r>
      <w:r>
        <w:rPr>
          <w:color w:val="1a1618"/>
        </w:rPr>
        <w:t>eseguita</w:t>
      </w:r>
      <w:r>
        <w:rPr>
          <w:color w:val="1a1618"/>
          <w:spacing w:val="9" w:percent="109"/>
        </w:rPr>
        <w:t xml:space="preserve"> </w:t>
      </w:r>
      <w:r>
        <w:rPr>
          <w:color w:val="1a1618"/>
        </w:rPr>
        <w:t>presso</w:t>
      </w:r>
      <w:r>
        <w:rPr>
          <w:color w:val="1a1618"/>
          <w:spacing w:val="9" w:percent="109"/>
        </w:rPr>
        <w:t xml:space="preserve"> </w:t>
      </w:r>
      <w:r>
        <w:rPr>
          <w:color w:val="1a1618"/>
        </w:rPr>
        <w:t>la</w:t>
      </w:r>
      <w:r>
        <w:rPr>
          <w:color w:val="1a1618"/>
          <w:spacing w:val="8" w:percent="108"/>
        </w:rPr>
        <w:t xml:space="preserve"> </w:t>
      </w:r>
      <w:r>
        <w:rPr>
          <w:color w:val="1a1618"/>
        </w:rPr>
        <w:t>Conservatoria</w:t>
      </w:r>
      <w:r>
        <w:rPr>
          <w:color w:val="1a1618"/>
          <w:spacing w:val="7" w:percent="107"/>
        </w:rPr>
        <w:t xml:space="preserve"> </w:t>
      </w:r>
      <w:r>
        <w:rPr>
          <w:color w:val="1a1618"/>
        </w:rPr>
        <w:t>dei</w:t>
      </w:r>
      <w:r>
        <w:rPr>
          <w:color w:val="1a1618"/>
          <w:spacing w:val="10" w:percent="110"/>
        </w:rPr>
        <w:t xml:space="preserve"> </w:t>
      </w:r>
      <w:r>
        <w:rPr>
          <w:color w:val="1a1618"/>
        </w:rPr>
        <w:t>Registri</w:t>
      </w:r>
      <w:r>
        <w:rPr>
          <w:color w:val="1a1618"/>
          <w:spacing w:val="7" w:percent="107"/>
        </w:rPr>
        <w:t xml:space="preserve"> </w:t>
      </w:r>
      <w:r>
        <w:rPr>
          <w:color w:val="1a1618"/>
        </w:rPr>
        <w:t>immobiliari</w:t>
      </w:r>
      <w:r>
        <w:rPr>
          <w:color w:val="1a1618"/>
          <w:spacing w:val="10" w:percent="110"/>
        </w:rPr>
        <w:t xml:space="preserve"> </w:t>
      </w:r>
      <w:r>
        <w:rPr>
          <w:color w:val="1a1618"/>
          <w:spacing w:val="-5" w:percent="95"/>
        </w:rPr>
        <w:t>di</w:t>
      </w:r>
      <w:r/>
    </w:p>
    <w:p>
      <w:pPr>
        <w:ind w:left="140"/>
        <w:spacing w:line="252" w:lineRule="exact"/>
        <w:tabs defTabSz="720">
          <w:tab w:val="left" w:pos="3551" w:leader="none"/>
        </w:tabs>
      </w:pPr>
      <w:r>
        <w:rPr>
          <w:color w:val="1a1618"/>
          <w:u w:color="191517" w:val="single"/>
        </w:rPr>
        <w:tab/>
      </w:r>
      <w:r>
        <w:rPr>
          <w:color w:val="1a1618"/>
          <w:spacing w:val="-10" w:percent="90"/>
        </w:rPr>
        <w:t>:</w:t>
      </w:r>
      <w:r/>
    </w:p>
    <w:p>
      <w:pPr>
        <w:pStyle w:val="para1"/>
        <w:ind w:right="132"/>
        <w:tabs defTabSz="720">
          <w:tab w:val="left" w:pos="3480" w:leader="none"/>
          <w:tab w:val="left" w:pos="5955" w:leader="none"/>
          <w:tab w:val="left" w:pos="6166" w:leader="none"/>
          <w:tab w:val="left" w:pos="9020" w:leader="none"/>
        </w:tabs>
      </w:pPr>
      <w:r>
        <w:rPr>
          <w:color w:val="1a1618"/>
        </w:rPr>
        <w:t>* ipoteca in data</w:t>
      </w:r>
      <w:r>
        <w:rPr>
          <w:color w:val="1a1618"/>
          <w:u w:color="191517" w:val="single"/>
        </w:rPr>
        <w:tab/>
      </w:r>
      <w:r>
        <w:rPr>
          <w:color w:val="1a1618"/>
          <w:spacing w:val="-8" w:percent="92"/>
        </w:rPr>
        <w:t xml:space="preserve"> </w:t>
      </w:r>
      <w:r>
        <w:rPr>
          <w:color w:val="1a1618"/>
        </w:rPr>
        <w:t>ai</w:t>
      </w:r>
      <w:r>
        <w:rPr>
          <w:color w:val="1a1618"/>
          <w:spacing w:val="40" w:percent="140"/>
        </w:rPr>
        <w:t xml:space="preserve"> </w:t>
      </w:r>
      <w:r>
        <w:rPr>
          <w:color w:val="1a1618"/>
        </w:rPr>
        <w:t>nn.</w:t>
      </w:r>
      <w:r>
        <w:rPr>
          <w:color w:val="1a1618"/>
          <w:u w:color="191517" w:val="single"/>
        </w:rPr>
        <w:tab/>
        <w:tab/>
      </w:r>
      <w:r>
        <w:rPr>
          <w:color w:val="1a1618"/>
        </w:rPr>
        <w:t xml:space="preserve"> a favore</w:t>
      </w:r>
      <w:r>
        <w:rPr>
          <w:color w:val="1a1618"/>
          <w:spacing w:val="40" w:percent="140"/>
        </w:rPr>
        <w:t xml:space="preserve"> </w:t>
      </w:r>
      <w:r>
        <w:rPr>
          <w:color w:val="1a1618"/>
        </w:rPr>
        <w:t>di</w:t>
      </w:r>
      <w:r>
        <w:rPr>
          <w:color w:val="1a1618"/>
          <w:spacing w:val="40" w:percent="140"/>
        </w:rPr>
        <w:t xml:space="preserve"> </w:t>
      </w:r>
      <w:r>
        <w:rPr>
          <w:color w:val="1a1618"/>
        </w:rPr>
        <w:t>“</w:t>
      </w:r>
      <w:r>
        <w:rPr>
          <w:color w:val="1a1618"/>
          <w:u w:color="191517" w:val="single"/>
        </w:rPr>
        <w:tab/>
      </w:r>
      <w:r>
        <w:rPr>
          <w:color w:val="1a1618"/>
        </w:rPr>
        <w:t>” per un montante ipotecario a euro</w:t>
      </w:r>
      <w:r>
        <w:rPr>
          <w:color w:val="1a1618"/>
          <w:u w:color="191517" w:val="single"/>
        </w:rPr>
        <w:tab/>
        <w:tab/>
      </w:r>
      <w:r>
        <w:rPr>
          <w:color w:val="1a1618"/>
          <w:spacing w:val="-10" w:percent="90"/>
        </w:rPr>
        <w:t>.</w:t>
      </w:r>
      <w:r/>
    </w:p>
    <w:p>
      <w:pPr>
        <w:pStyle w:val="para1"/>
        <w:ind w:right="132"/>
      </w:pPr>
      <w:r>
        <w:rPr>
          <w:color w:val="1a1618"/>
        </w:rPr>
        <w:t xml:space="preserve">Tale ipoteca dovrà risultare cancellata per la data del definitivo a cura e spese della Parte Promittente </w:t>
      </w:r>
      <w:r>
        <w:rPr>
          <w:color w:val="1a1618"/>
          <w:spacing w:val="-2" w:percent="98"/>
        </w:rPr>
        <w:t>Venditrice.</w:t>
      </w:r>
      <w:r/>
    </w:p>
    <w:p>
      <w:pPr>
        <w:pStyle w:val="para1"/>
      </w:pPr>
      <w:r>
        <w:rPr>
          <w:color w:val="1a1618"/>
        </w:rPr>
        <w:t>È</w:t>
      </w:r>
      <w:r>
        <w:rPr>
          <w:color w:val="1a1618"/>
          <w:spacing w:val="-3" w:percent="97"/>
        </w:rPr>
        <w:t xml:space="preserve"> </w:t>
      </w:r>
      <w:r>
        <w:rPr>
          <w:color w:val="1a1618"/>
        </w:rPr>
        <w:t>fatta</w:t>
      </w:r>
      <w:r>
        <w:rPr>
          <w:color w:val="1a1618"/>
          <w:spacing w:val="-4" w:percent="96"/>
        </w:rPr>
        <w:t xml:space="preserve"> </w:t>
      </w:r>
      <w:r>
        <w:rPr>
          <w:color w:val="1a1618"/>
        </w:rPr>
        <w:t>in</w:t>
      </w:r>
      <w:r>
        <w:rPr>
          <w:color w:val="1a1618"/>
          <w:spacing w:val="-2" w:percent="98"/>
        </w:rPr>
        <w:t xml:space="preserve"> </w:t>
      </w:r>
      <w:r>
        <w:rPr>
          <w:color w:val="1a1618"/>
        </w:rPr>
        <w:t>ogni</w:t>
      </w:r>
      <w:r>
        <w:rPr>
          <w:color w:val="1a1618"/>
          <w:spacing w:val="-4" w:percent="96"/>
        </w:rPr>
        <w:t xml:space="preserve"> </w:t>
      </w:r>
      <w:r>
        <w:rPr>
          <w:color w:val="1a1618"/>
        </w:rPr>
        <w:t>caso</w:t>
      </w:r>
      <w:r>
        <w:rPr>
          <w:color w:val="1a1618"/>
          <w:spacing w:val="-5" w:percent="95"/>
        </w:rPr>
        <w:t xml:space="preserve"> </w:t>
      </w:r>
      <w:r>
        <w:rPr>
          <w:color w:val="1a1618"/>
        </w:rPr>
        <w:t>rinuncia</w:t>
      </w:r>
      <w:r>
        <w:rPr>
          <w:color w:val="1a1618"/>
          <w:spacing w:val="-2" w:percent="98"/>
        </w:rPr>
        <w:t xml:space="preserve"> </w:t>
      </w:r>
      <w:r>
        <w:rPr>
          <w:color w:val="1a1618"/>
        </w:rPr>
        <w:t>espressa</w:t>
      </w:r>
      <w:r>
        <w:rPr>
          <w:color w:val="1a1618"/>
          <w:spacing w:val="-2" w:percent="98"/>
        </w:rPr>
        <w:t xml:space="preserve"> </w:t>
      </w:r>
      <w:r>
        <w:rPr>
          <w:color w:val="1a1618"/>
        </w:rPr>
        <w:t>a</w:t>
      </w:r>
      <w:r>
        <w:rPr>
          <w:color w:val="1a1618"/>
          <w:spacing w:val="-4" w:percent="96"/>
        </w:rPr>
        <w:t xml:space="preserve"> </w:t>
      </w:r>
      <w:r>
        <w:rPr>
          <w:color w:val="1a1618"/>
        </w:rPr>
        <w:t>ogni</w:t>
      </w:r>
      <w:r>
        <w:rPr>
          <w:color w:val="1a1618"/>
          <w:spacing w:val="-1" w:percent="99"/>
        </w:rPr>
        <w:t xml:space="preserve"> </w:t>
      </w:r>
      <w:r>
        <w:rPr>
          <w:color w:val="1a1618"/>
        </w:rPr>
        <w:t>ipoteca</w:t>
      </w:r>
      <w:r>
        <w:rPr>
          <w:color w:val="1a1618"/>
          <w:spacing w:val="-2" w:percent="98"/>
        </w:rPr>
        <w:t xml:space="preserve"> legale.</w:t>
      </w:r>
      <w:r/>
    </w:p>
    <w:p>
      <w:pPr>
        <w:pStyle w:val="para1"/>
        <w:ind w:right="130"/>
      </w:pPr>
      <w:r>
        <w:rPr>
          <w:color w:val="1a1618"/>
        </w:rPr>
        <w:t>L’immobile sopra descritto dovrà essere, al momento della stipula dell’atto notarile definitivo, a cura e spese della Parte Promittente Venditrice, reso libero se risultassero ulteriori iscrizioni ipotecarie e/o trascrizioni pregiudizievoli, oltre a essere nella piena disponibilità della Parte Promittente Venditrice.</w:t>
      </w:r>
      <w:r/>
    </w:p>
    <w:p>
      <w:pPr>
        <w:pStyle w:val="para5"/>
        <w:numPr>
          <w:ilvl w:val="0"/>
          <w:numId w:val="4"/>
        </w:numPr>
        <w:ind w:left="367" w:hanging="227"/>
        <w:spacing w:before="250"/>
        <w:jc w:val="left"/>
        <w:tabs defTabSz="720">
          <w:tab w:val="left" w:pos="367" w:leader="none"/>
        </w:tabs>
      </w:pPr>
      <w:r>
        <w:rPr>
          <w:color w:val="1a1618"/>
        </w:rPr>
        <w:t>L’immobile</w:t>
      </w:r>
      <w:r>
        <w:rPr>
          <w:color w:val="1a1618"/>
          <w:spacing w:val="-5" w:percent="95"/>
        </w:rPr>
        <w:t xml:space="preserve"> </w:t>
      </w:r>
      <w:r>
        <w:rPr>
          <w:color w:val="1a1618"/>
        </w:rPr>
        <w:t>dovrà</w:t>
      </w:r>
      <w:r>
        <w:rPr>
          <w:color w:val="1a1618"/>
          <w:spacing w:val="-5" w:percent="95"/>
        </w:rPr>
        <w:t xml:space="preserve"> </w:t>
      </w:r>
      <w:r>
        <w:rPr>
          <w:color w:val="1a1618"/>
        </w:rPr>
        <w:t>essere</w:t>
      </w:r>
      <w:r>
        <w:rPr>
          <w:color w:val="1a1618"/>
          <w:spacing w:val="-5" w:percent="95"/>
        </w:rPr>
        <w:t xml:space="preserve"> </w:t>
      </w:r>
      <w:r>
        <w:rPr>
          <w:color w:val="1a1618"/>
        </w:rPr>
        <w:t>altresì</w:t>
      </w:r>
      <w:r>
        <w:rPr>
          <w:color w:val="1a1618"/>
          <w:spacing w:val="-5" w:percent="95"/>
        </w:rPr>
        <w:t xml:space="preserve"> </w:t>
      </w:r>
      <w:r>
        <w:rPr>
          <w:color w:val="1a1618"/>
        </w:rPr>
        <w:t>libero</w:t>
      </w:r>
      <w:r>
        <w:rPr>
          <w:color w:val="1a1618"/>
          <w:spacing w:val="-6" w:percent="94"/>
        </w:rPr>
        <w:t xml:space="preserve"> </w:t>
      </w:r>
      <w:r>
        <w:rPr>
          <w:color w:val="1a1618"/>
        </w:rPr>
        <w:t>da</w:t>
      </w:r>
      <w:r>
        <w:rPr>
          <w:color w:val="1a1618"/>
          <w:spacing w:val="-3" w:percent="97"/>
        </w:rPr>
        <w:t xml:space="preserve"> </w:t>
      </w:r>
      <w:r>
        <w:rPr>
          <w:color w:val="1a1618"/>
        </w:rPr>
        <w:t>persone</w:t>
      </w:r>
      <w:r>
        <w:rPr>
          <w:color w:val="1a1618"/>
          <w:spacing w:val="-2" w:percent="98"/>
        </w:rPr>
        <w:t xml:space="preserve"> </w:t>
      </w:r>
      <w:r>
        <w:rPr>
          <w:color w:val="1a1618"/>
        </w:rPr>
        <w:t>anche</w:t>
      </w:r>
      <w:r>
        <w:rPr>
          <w:color w:val="1a1618"/>
          <w:spacing w:val="-2" w:percent="98"/>
        </w:rPr>
        <w:t xml:space="preserve"> interposte.</w:t>
      </w:r>
      <w:r/>
    </w:p>
    <w:p>
      <w:pPr>
        <w:ind w:left="140"/>
        <w:spacing w:before="2" w:line="252" w:lineRule="exact"/>
        <w:rPr>
          <w:i/>
        </w:rPr>
      </w:pPr>
      <w:r>
        <w:rPr>
          <w:i/>
          <w:color w:val="1a1618"/>
          <w:spacing w:val="-2" w:percent="98"/>
        </w:rPr>
        <w:t>oppure</w:t>
      </w:r>
      <w:r>
        <w:rPr>
          <w:i/>
        </w:rPr>
      </w:r>
    </w:p>
    <w:p>
      <w:pPr>
        <w:pStyle w:val="para5"/>
        <w:numPr>
          <w:ilvl w:val="0"/>
          <w:numId w:val="4"/>
        </w:numPr>
        <w:ind w:left="367" w:hanging="227"/>
        <w:spacing w:line="252" w:lineRule="exact"/>
        <w:jc w:val="left"/>
        <w:tabs defTabSz="720">
          <w:tab w:val="left" w:pos="367" w:leader="none"/>
          <w:tab w:val="left" w:pos="9718" w:leader="none"/>
        </w:tabs>
      </w:pPr>
      <w:r>
        <w:rPr>
          <w:color w:val="1a1618"/>
        </w:rPr>
        <w:t>L’immobile</w:t>
      </w:r>
      <w:r>
        <w:rPr>
          <w:color w:val="1a1618"/>
          <w:spacing w:val="-3" w:percent="97"/>
        </w:rPr>
        <w:t xml:space="preserve"> </w:t>
      </w:r>
      <w:r>
        <w:rPr>
          <w:color w:val="1a1618"/>
        </w:rPr>
        <w:t>è</w:t>
      </w:r>
      <w:r>
        <w:rPr>
          <w:color w:val="1a1618"/>
          <w:spacing w:val="-3" w:percent="97"/>
        </w:rPr>
        <w:t xml:space="preserve"> </w:t>
      </w:r>
      <w:r>
        <w:rPr>
          <w:color w:val="1a1618"/>
        </w:rPr>
        <w:t>oggetto</w:t>
      </w:r>
      <w:r>
        <w:rPr>
          <w:color w:val="1a1618"/>
          <w:spacing w:val="-5" w:percent="95"/>
        </w:rPr>
        <w:t xml:space="preserve"> </w:t>
      </w:r>
      <w:r>
        <w:rPr>
          <w:color w:val="1a1618"/>
        </w:rPr>
        <w:t>di</w:t>
      </w:r>
      <w:r>
        <w:rPr>
          <w:color w:val="1a1618"/>
          <w:spacing w:val="-4" w:percent="96"/>
        </w:rPr>
        <w:t xml:space="preserve"> </w:t>
      </w:r>
      <w:r>
        <w:rPr>
          <w:color w:val="1a1618"/>
        </w:rPr>
        <w:t>un</w:t>
      </w:r>
      <w:r>
        <w:rPr>
          <w:color w:val="1a1618"/>
          <w:spacing w:val="-3" w:percent="97"/>
        </w:rPr>
        <w:t xml:space="preserve"> </w:t>
      </w:r>
      <w:r>
        <w:rPr>
          <w:color w:val="1a1618"/>
        </w:rPr>
        <w:t>contratto</w:t>
      </w:r>
      <w:r>
        <w:rPr>
          <w:color w:val="1a1618"/>
          <w:spacing w:val="-2" w:percent="98"/>
        </w:rPr>
        <w:t xml:space="preserve"> </w:t>
      </w:r>
      <w:r>
        <w:rPr>
          <w:color w:val="1a1618"/>
        </w:rPr>
        <w:t>di</w:t>
      </w:r>
      <w:r>
        <w:rPr>
          <w:color w:val="1a1618"/>
          <w:spacing w:val="-5" w:percent="95"/>
        </w:rPr>
        <w:t xml:space="preserve"> </w:t>
      </w:r>
      <w:r>
        <w:rPr>
          <w:color w:val="1a1618"/>
        </w:rPr>
        <w:t>locazione</w:t>
      </w:r>
      <w:r>
        <w:rPr>
          <w:color w:val="1a1618"/>
          <w:spacing w:val="-3" w:percent="97"/>
        </w:rPr>
        <w:t xml:space="preserve"> </w:t>
      </w:r>
      <w:r>
        <w:rPr>
          <w:color w:val="1a1618"/>
        </w:rPr>
        <w:t>con</w:t>
      </w:r>
      <w:r>
        <w:rPr>
          <w:color w:val="1a1618"/>
          <w:spacing w:val="-3" w:percent="97"/>
        </w:rPr>
        <w:t xml:space="preserve"> </w:t>
      </w:r>
      <w:r>
        <w:rPr>
          <w:color w:val="1a1618"/>
        </w:rPr>
        <w:t>scadenza</w:t>
      </w:r>
      <w:r>
        <w:rPr>
          <w:color w:val="1a1618"/>
          <w:spacing w:val="-2" w:percent="98"/>
        </w:rPr>
        <w:t xml:space="preserve"> </w:t>
      </w:r>
      <w:r>
        <w:rPr>
          <w:color w:val="1a1618"/>
          <w:spacing w:val="-5" w:percent="95"/>
        </w:rPr>
        <w:t>il</w:t>
      </w:r>
      <w:r>
        <w:rPr>
          <w:color w:val="1a1618"/>
          <w:u w:color="191517" w:val="single"/>
        </w:rPr>
        <w:tab/>
      </w:r>
      <w:r>
        <w:rPr>
          <w:color w:val="1a1618"/>
          <w:spacing w:val="-10" w:percent="90"/>
        </w:rPr>
        <w:t>.</w:t>
      </w:r>
      <w:r/>
    </w:p>
    <w:p>
      <w:pPr>
        <w:pStyle w:val="para1"/>
        <w:ind w:left="0"/>
        <w:spacing/>
        <w:jc w:val="left"/>
      </w:pPr>
      <w:r/>
    </w:p>
    <w:p>
      <w:pPr>
        <w:pStyle w:val="para1"/>
        <w:ind w:right="132"/>
      </w:pPr>
      <w:r>
        <w:rPr>
          <w:color w:val="1a1618"/>
        </w:rPr>
        <w:t xml:space="preserve">La presenza di iscrizioni ipotecarie e/o trascrizioni pregiudizievoli ovvero di altre formalità a gravare sulla proprietà, nonché l’indisponibilità dell’immobile in capo alla Parte Promittente Venditrice, quale che ne possa essere la causa, produrranno </w:t>
      </w:r>
      <w:r>
        <w:rPr>
          <w:i/>
          <w:color w:val="1a1618"/>
        </w:rPr>
        <w:t xml:space="preserve">ipso iure </w:t>
      </w:r>
      <w:r>
        <w:rPr>
          <w:color w:val="1a1618"/>
        </w:rPr>
        <w:t xml:space="preserve">la risoluzione del presente contratto </w:t>
      </w:r>
      <w:r>
        <w:rPr>
          <w:i/>
          <w:color w:val="1a1618"/>
        </w:rPr>
        <w:t xml:space="preserve">ex </w:t>
      </w:r>
      <w:r>
        <w:rPr>
          <w:color w:val="1a1618"/>
        </w:rPr>
        <w:t>art. 1456 c.c.</w:t>
      </w:r>
      <w:r/>
    </w:p>
    <w:p>
      <w:pPr>
        <w:pStyle w:val="para1"/>
        <w:ind w:right="133"/>
      </w:pPr>
      <w:r>
        <w:rPr>
          <w:color w:val="1a1618"/>
        </w:rPr>
        <w:t xml:space="preserve">Quanto in oggetto viene promesso in vendita a corpo e non a misura, e comprende ogni annesso e connesso, pertinenza, servitù attive e passive se e in quanto esistenti, nonché la quota proporzionale sulle parti comuni dell’edificio, </w:t>
      </w:r>
      <w:r>
        <w:rPr>
          <w:i/>
          <w:color w:val="1a1618"/>
        </w:rPr>
        <w:t xml:space="preserve">ex </w:t>
      </w:r>
      <w:r>
        <w:rPr>
          <w:color w:val="1a1618"/>
        </w:rPr>
        <w:t>art. 1117 c.c., come risulta dal Regolamento di condominio allegato e parte integrante e sostanziale del presente atto.</w:t>
      </w:r>
      <w:r/>
    </w:p>
    <w:p>
      <w:pPr>
        <w:pStyle w:val="para1"/>
        <w:ind w:right="132"/>
        <w:spacing w:before="1"/>
      </w:pPr>
      <w:r>
        <w:rPr>
          <w:color w:val="1a1618"/>
        </w:rPr>
        <w:t>La Parte Promittente Venditrice dichiara che non esistono pendenze condominiali per contributi ordinari e spese straordinarie, e che non esistono liti pendenti relative a questioni condominiali; a tal uopo si conviene che sarà a carico della Parte Promittente Venditrice ogni spesa condominiale, derivante da deliberazioni assunte dall’assemblea del condominio fino alla data odierna.</w:t>
      </w:r>
      <w:r/>
    </w:p>
    <w:p>
      <w:pPr>
        <w:pStyle w:val="para1"/>
        <w:ind w:right="132"/>
      </w:pPr>
      <w:r>
        <w:rPr>
          <w:color w:val="1a1618"/>
        </w:rPr>
        <w:t>Le Parti convengono inoltre che l’immobile verrà trasferito nello stato di fatto in cui si trova, intendendosi perciò in normale stato di conservazione ed esente da vizi occulti che possano comprometterne il normale uso, così come dichiarato dalla Parte Promittente Venditrice.</w:t>
      </w:r>
      <w:r/>
    </w:p>
    <w:p>
      <w:pPr>
        <w:pStyle w:val="para1"/>
        <w:spacing w:line="252" w:lineRule="exact"/>
      </w:pPr>
      <w:r>
        <w:rPr>
          <w:color w:val="1a1618"/>
        </w:rPr>
        <w:t>La</w:t>
      </w:r>
      <w:r>
        <w:rPr>
          <w:color w:val="1a1618"/>
          <w:spacing w:val="-5" w:percent="95"/>
        </w:rPr>
        <w:t xml:space="preserve"> </w:t>
      </w:r>
      <w:r>
        <w:rPr>
          <w:color w:val="1a1618"/>
        </w:rPr>
        <w:t>Parte</w:t>
      </w:r>
      <w:r>
        <w:rPr>
          <w:color w:val="1a1618"/>
          <w:spacing w:val="-2" w:percent="98"/>
        </w:rPr>
        <w:t xml:space="preserve"> </w:t>
      </w:r>
      <w:r>
        <w:rPr>
          <w:color w:val="1a1618"/>
        </w:rPr>
        <w:t>Promittente</w:t>
      </w:r>
      <w:r>
        <w:rPr>
          <w:color w:val="1a1618"/>
          <w:spacing w:val="-4" w:percent="96"/>
        </w:rPr>
        <w:t xml:space="preserve"> </w:t>
      </w:r>
      <w:r>
        <w:rPr>
          <w:color w:val="1a1618"/>
        </w:rPr>
        <w:t>Venditrice</w:t>
      </w:r>
      <w:r>
        <w:rPr>
          <w:color w:val="1a1618"/>
          <w:spacing w:val="-2" w:percent="98"/>
        </w:rPr>
        <w:t xml:space="preserve"> </w:t>
      </w:r>
      <w:r>
        <w:rPr>
          <w:color w:val="1a1618"/>
        </w:rPr>
        <w:t>presta</w:t>
      </w:r>
      <w:r>
        <w:rPr>
          <w:color w:val="1a1618"/>
          <w:spacing w:val="-4" w:percent="96"/>
        </w:rPr>
        <w:t xml:space="preserve"> </w:t>
      </w:r>
      <w:r>
        <w:rPr>
          <w:color w:val="1a1618"/>
        </w:rPr>
        <w:t>fin</w:t>
      </w:r>
      <w:r>
        <w:rPr>
          <w:color w:val="1a1618"/>
          <w:spacing w:val="-2" w:percent="98"/>
        </w:rPr>
        <w:t xml:space="preserve"> </w:t>
      </w:r>
      <w:r>
        <w:rPr>
          <w:color w:val="1a1618"/>
        </w:rPr>
        <w:t>d’ora</w:t>
      </w:r>
      <w:r>
        <w:rPr>
          <w:color w:val="1a1618"/>
          <w:spacing w:val="-4" w:percent="96"/>
        </w:rPr>
        <w:t xml:space="preserve"> </w:t>
      </w:r>
      <w:r>
        <w:rPr>
          <w:color w:val="1a1618"/>
        </w:rPr>
        <w:t>tutte</w:t>
      </w:r>
      <w:r>
        <w:rPr>
          <w:color w:val="1a1618"/>
          <w:spacing w:val="-4" w:percent="96"/>
        </w:rPr>
        <w:t xml:space="preserve"> </w:t>
      </w:r>
      <w:r>
        <w:rPr>
          <w:color w:val="1a1618"/>
        </w:rPr>
        <w:t>le</w:t>
      </w:r>
      <w:r>
        <w:rPr>
          <w:color w:val="1a1618"/>
          <w:spacing w:val="-3" w:percent="97"/>
        </w:rPr>
        <w:t xml:space="preserve"> </w:t>
      </w:r>
      <w:r>
        <w:rPr>
          <w:color w:val="1a1618"/>
        </w:rPr>
        <w:t>garanzie</w:t>
      </w:r>
      <w:r>
        <w:rPr>
          <w:color w:val="1a1618"/>
          <w:spacing w:val="-3" w:percent="97"/>
        </w:rPr>
        <w:t xml:space="preserve"> </w:t>
      </w:r>
      <w:r>
        <w:rPr>
          <w:color w:val="1a1618"/>
        </w:rPr>
        <w:t>di</w:t>
      </w:r>
      <w:r>
        <w:rPr>
          <w:color w:val="1a1618"/>
          <w:spacing w:val="-3" w:percent="97"/>
        </w:rPr>
        <w:t xml:space="preserve"> </w:t>
      </w:r>
      <w:r>
        <w:rPr>
          <w:color w:val="1a1618"/>
          <w:spacing w:val="-2" w:percent="98"/>
        </w:rPr>
        <w:t>legge.</w:t>
      </w:r>
      <w:r/>
    </w:p>
    <w:p>
      <w:pPr>
        <w:pStyle w:val="para1"/>
        <w:ind w:right="133"/>
      </w:pPr>
      <w:r>
        <w:rPr>
          <w:color w:val="1a1618"/>
        </w:rPr>
        <w:t>Viene prestata fin d’ora garanzia di conformità degli impianti alla normativa di sicurezza vigente all’epoca della</w:t>
      </w:r>
      <w:r>
        <w:rPr>
          <w:color w:val="1a1618"/>
          <w:spacing w:val="4" w:percent="104"/>
        </w:rPr>
        <w:t xml:space="preserve"> </w:t>
      </w:r>
      <w:r>
        <w:rPr>
          <w:color w:val="1a1618"/>
        </w:rPr>
        <w:t>loro</w:t>
      </w:r>
      <w:r>
        <w:rPr>
          <w:color w:val="1a1618"/>
          <w:spacing w:val="4" w:percent="104"/>
        </w:rPr>
        <w:t xml:space="preserve"> </w:t>
      </w:r>
      <w:r>
        <w:rPr>
          <w:color w:val="1a1618"/>
        </w:rPr>
        <w:t>realizzazione,</w:t>
      </w:r>
      <w:r>
        <w:rPr>
          <w:color w:val="1a1618"/>
          <w:spacing w:val="6" w:percent="106"/>
        </w:rPr>
        <w:t xml:space="preserve"> </w:t>
      </w:r>
      <w:r>
        <w:rPr>
          <w:color w:val="1a1618"/>
        </w:rPr>
        <w:t>mentre</w:t>
      </w:r>
      <w:r>
        <w:rPr>
          <w:color w:val="1a1618"/>
          <w:spacing w:val="4" w:percent="104"/>
        </w:rPr>
        <w:t xml:space="preserve"> </w:t>
      </w:r>
      <w:r>
        <w:rPr>
          <w:color w:val="1a1618"/>
        </w:rPr>
        <w:t>la</w:t>
      </w:r>
      <w:r>
        <w:rPr>
          <w:color w:val="1a1618"/>
          <w:spacing w:val="4" w:percent="104"/>
        </w:rPr>
        <w:t xml:space="preserve"> </w:t>
      </w:r>
      <w:r>
        <w:rPr>
          <w:color w:val="1a1618"/>
        </w:rPr>
        <w:t>loro</w:t>
      </w:r>
      <w:r>
        <w:rPr>
          <w:color w:val="1a1618"/>
          <w:spacing w:val="7" w:percent="107"/>
        </w:rPr>
        <w:t xml:space="preserve"> </w:t>
      </w:r>
      <w:r>
        <w:rPr>
          <w:color w:val="1a1618"/>
        </w:rPr>
        <w:t>eventuale</w:t>
      </w:r>
      <w:r>
        <w:rPr>
          <w:color w:val="1a1618"/>
          <w:spacing w:val="8" w:percent="108"/>
        </w:rPr>
        <w:t xml:space="preserve"> </w:t>
      </w:r>
      <w:r>
        <w:rPr>
          <w:color w:val="1a1618"/>
        </w:rPr>
        <w:t>messa</w:t>
      </w:r>
      <w:r>
        <w:rPr>
          <w:color w:val="1a1618"/>
          <w:spacing w:val="7" w:percent="107"/>
        </w:rPr>
        <w:t xml:space="preserve"> </w:t>
      </w:r>
      <w:r>
        <w:rPr>
          <w:color w:val="1a1618"/>
        </w:rPr>
        <w:t>a</w:t>
      </w:r>
      <w:r>
        <w:rPr>
          <w:color w:val="1a1618"/>
          <w:spacing w:val="4" w:percent="104"/>
        </w:rPr>
        <w:t xml:space="preserve"> </w:t>
      </w:r>
      <w:r>
        <w:rPr>
          <w:color w:val="1a1618"/>
        </w:rPr>
        <w:t>norma</w:t>
      </w:r>
      <w:r>
        <w:rPr>
          <w:color w:val="1a1618"/>
          <w:spacing w:val="7" w:percent="107"/>
        </w:rPr>
        <w:t xml:space="preserve"> </w:t>
      </w:r>
      <w:r>
        <w:rPr>
          <w:color w:val="1a1618"/>
        </w:rPr>
        <w:t>secondo</w:t>
      </w:r>
      <w:r>
        <w:rPr>
          <w:color w:val="1a1618"/>
          <w:spacing w:val="4" w:percent="104"/>
        </w:rPr>
        <w:t xml:space="preserve"> </w:t>
      </w:r>
      <w:r>
        <w:rPr>
          <w:color w:val="1a1618"/>
        </w:rPr>
        <w:t>le</w:t>
      </w:r>
      <w:r>
        <w:rPr>
          <w:color w:val="1a1618"/>
          <w:spacing w:val="4" w:percent="104"/>
        </w:rPr>
        <w:t xml:space="preserve"> </w:t>
      </w:r>
      <w:r>
        <w:rPr>
          <w:color w:val="1a1618"/>
        </w:rPr>
        <w:t>disposizioni</w:t>
      </w:r>
      <w:r>
        <w:rPr>
          <w:color w:val="1a1618"/>
          <w:spacing w:val="7" w:percent="107"/>
        </w:rPr>
        <w:t xml:space="preserve"> </w:t>
      </w:r>
      <w:r>
        <w:rPr>
          <w:color w:val="1a1618"/>
        </w:rPr>
        <w:t>attualmente</w:t>
      </w:r>
      <w:r>
        <w:rPr>
          <w:color w:val="1a1618"/>
          <w:spacing w:val="5" w:percent="105"/>
        </w:rPr>
        <w:t xml:space="preserve"> </w:t>
      </w:r>
      <w:r>
        <w:rPr>
          <w:color w:val="1a1618"/>
          <w:spacing w:val="-2" w:percent="98"/>
        </w:rPr>
        <w:t>vigenti</w:t>
      </w:r>
      <w:r/>
    </w:p>
    <w:p>
      <w:pPr>
        <w:pStyle w:val="para1"/>
        <w:ind w:left="0"/>
        <w:spacing w:before="141"/>
        <w:jc w:val="left"/>
        <w:rPr>
          <w:sz w:val="20"/>
        </w:rPr>
      </w:pPr>
      <w:r>
        <w:rPr>
          <w:noProof/>
        </w:rPr>
        <mc:AlternateContent>
          <mc:Choice Requires="wps">
            <w:drawing>
              <wp:anchor distT="0" distB="0" distL="0" distR="0" simplePos="0" relativeHeight="251658241" behindDoc="1" locked="0" layoutInCell="0" hidden="0" allowOverlap="1">
                <wp:simplePos x="0" y="0"/>
                <wp:positionH relativeFrom="page">
                  <wp:posOffset>719455</wp:posOffset>
                </wp:positionH>
                <wp:positionV relativeFrom="paragraph">
                  <wp:posOffset>250825</wp:posOffset>
                </wp:positionV>
                <wp:extent cx="1828800" cy="7620"/>
                <wp:effectExtent l="0" t="0" r="0" b="0"/>
                <wp:wrapTopAndBottom/>
                <wp:docPr id="1" name="Graphic 1"/>
                <wp:cNvGraphicFramePr/>
                <a:graphic xmlns:a="http://schemas.openxmlformats.org/drawingml/2006/main">
                  <a:graphicData uri="http://schemas.microsoft.com/office/word/2010/wordprocessingShape">
                    <wps:wsp>
                      <wps:cNvSpPr>
                        <a:extLst>
                          <a:ext uri="sm">
                            <sm:smNativeData xmlns:sm="sm" val="SMDATA_14_Ua+FaRMAAAAlAAAACwAAAA0AAAAAAAAAAAAAAAAAAAAAAAAAAAAAAAAAAAAAAAAAAAEAAABQAAAAAAAAAAAA4D8AAAAAAADgPwAAAAAAAOA/AAAAAAAA4D8AAAAAAADgPwAAAAAAAOA/AAAAAAAA4D8AAAAAAADgPwAAAAAAAOA/AAAAAAAA4D8CAAAAjAAAAAE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DQAAAAAIQAAAAAAAAAAAAAAAAAAAAAAAG0EAAAAAAAAAgAAAIsBAABACwAADAAAAAEAAQBtBAAAcTgAACgAAAAIAAAAAQAAAAEAAAA="/>
                          </a:ext>
                        </a:extLst>
                      </wps:cNvSpPr>
                      <wps:spPr>
                        <a:xfrm>
                          <a:off x="0" y="0"/>
                          <a:ext cx="1828800" cy="7620"/>
                        </a:xfrm>
                        <a:custGeom>
                          <a:avLst/>
                          <a:gdLst/>
                          <a:ahLst/>
                          <a:cxnLst/>
                          <a:rect l="0" t="0" r="1828800" b="7620"/>
                          <a:pathLst>
                            <a:path w="1828800" h="7620">
                              <a:moveTo>
                                <a:pt x="1828799" y="0"/>
                              </a:moveTo>
                              <a:lnTo>
                                <a:pt x="0" y="0"/>
                              </a:lnTo>
                              <a:lnTo>
                                <a:pt x="0" y="7619"/>
                              </a:lnTo>
                              <a:lnTo>
                                <a:pt x="1828799" y="7619"/>
                              </a:lnTo>
                              <a:lnTo>
                                <a:pt x="1828799" y="0"/>
                              </a:lnTo>
                              <a:close/>
                            </a:path>
                          </a:pathLst>
                        </a:custGeom>
                        <a:solidFill>
                          <a:srgbClr val="000000"/>
                        </a:solidFill>
                        <a:ln>
                          <a:noFill/>
                        </a:ln>
                      </wps:spPr>
                      <wps:bodyPr spcFirstLastPara="1" vertOverflow="clip" horzOverflow="clip" lIns="0" tIns="0" rIns="0" bIns="0" upright="1">
                        <a:noAutofit/>
                      </wps:bodyPr>
                    </wps:wsp>
                  </a:graphicData>
                </a:graphic>
              </wp:anchor>
            </w:drawing>
          </mc:Choice>
          <mc:Fallback>
            <w:pict>
              <v:shape id="Graphic 1" o:spid="_x0000_s1026" style="position:absolute;margin-left:56.65pt;margin-top:19.75pt;mso-position-horizontal-relative:page;width:144.00pt;height:0.60pt;z-index:251658241;mso-wrap-distance-left:0.00pt;mso-wrap-distance-top:0.00pt;mso-wrap-distance-right:0.00pt;mso-wrap-distance-bottom:0.00pt;mso-wrap-style:square" coordsize="2880,12" path="m2880,0l0,0l0,12l2880,12l2880,0xe" stroked="f" fillcolor="#000000" v:ext="SMDATA_14_Ua+FaRMAAAAlAAAACwAAAA0AAAAAAAAAAAAAAAAAAAAAAAAAAAAAAAAAAAAAAAAAAAEAAABQAAAAAAAAAAAA4D8AAAAAAADgPwAAAAAAAOA/AAAAAAAA4D8AAAAAAADgPwAAAAAAAOA/AAAAAAAA4D8AAAAAAADgPwAAAAAAAOA/AAAAAAAA4D8CAAAAjAAAAAE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DQAAAAAIQAAAAAAAAAAAAAAAAAAAAAAAG0EAAAAAAAAAgAAAIsBAABACwAADAAAAAEAAQBtBAAAcTgAACgAAAAIAAAAAQAAAAEAAAA=">
                <v:fill color2="#000000" type="solid" angle="90"/>
                <w10:wrap type="topAndBottom" anchorx="page" anchory="text"/>
              </v:shape>
            </w:pict>
          </mc:Fallback>
        </mc:AlternateContent>
      </w:r>
      <w:r>
        <w:rPr>
          <w:sz w:val="20"/>
        </w:rPr>
      </w:r>
    </w:p>
    <w:p>
      <w:pPr>
        <w:ind w:left="140" w:right="133"/>
        <w:spacing w:before="67" w:line="245" w:lineRule="auto"/>
        <w:jc w:val="both"/>
        <w:rPr>
          <w:sz w:val="18"/>
        </w:rPr>
      </w:pPr>
      <w:r>
        <w:rPr>
          <w:sz w:val="16"/>
          <w:position w:val="5"/>
        </w:rPr>
        <w:t>1</w:t>
      </w:r>
      <w:r>
        <w:rPr>
          <w:spacing w:val="38" w:percent="152"/>
          <w:sz w:val="16"/>
          <w:position w:val="5"/>
        </w:rPr>
        <w:t xml:space="preserve"> </w:t>
      </w:r>
      <w:r>
        <w:rPr>
          <w:color w:val="1a1618"/>
          <w:sz w:val="18"/>
        </w:rPr>
        <w:t>Si consiglia di procedere alla dichiarazione di nomina del terzo entro e non oltre il termine di 3 giorni, al fine di evitare che il contratto sia considerato da parte dell’Agenzia delle Entrate come una “cessione di contratto” e che non possa poi scomputarsi in</w:t>
      </w:r>
      <w:r>
        <w:rPr>
          <w:color w:val="1a1618"/>
          <w:spacing w:val="40" w:percent="149"/>
          <w:sz w:val="18"/>
        </w:rPr>
        <w:t xml:space="preserve"> </w:t>
      </w:r>
      <w:r>
        <w:rPr>
          <w:color w:val="1a1618"/>
          <w:sz w:val="18"/>
        </w:rPr>
        <w:t>sede di imposta da pagare al momento della stipulazione del contratto definitivo l’imposta già pagata per la caparra confirmatoria e per l’acconto prezzo in caso di registrazione del preliminare.</w:t>
      </w:r>
      <w:r>
        <w:rPr>
          <w:sz w:val="18"/>
        </w:rPr>
      </w:r>
    </w:p>
    <w:p>
      <w:pPr>
        <w:sectPr>
          <w:footnotePr>
            <w:pos w:val="pageBottom"/>
            <w:numFmt w:val="decimal"/>
            <w:numStart w:val="1"/>
            <w:numRestart w:val="continuous"/>
          </w:footnotePr>
          <w:endnotePr>
            <w:pos w:val="docEnd"/>
            <w:numFmt w:val="lowerRoman"/>
            <w:numStart w:val="1"/>
            <w:numRestart w:val="continuous"/>
          </w:endnotePr>
          <w:type w:val="nextPage"/>
          <w:pgSz w:h="16840" w:w="11900"/>
          <w:pgMar w:left="992" w:top="1340" w:right="992" w:bottom="280" w:header="0" w:footer="0"/>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1"/>
        <w:ind w:right="133"/>
        <w:spacing w:before="70"/>
      </w:pPr>
      <w:r>
        <w:rPr>
          <w:color w:val="1a1618"/>
        </w:rPr>
        <w:t>nel momento in cui sarà stipulato il contratto definitivo di compravendita sarà a carico della Parte</w:t>
      </w:r>
      <w:r>
        <w:rPr>
          <w:color w:val="1a1618"/>
          <w:spacing w:val="40" w:percent="140"/>
        </w:rPr>
        <w:t xml:space="preserve"> </w:t>
      </w:r>
      <w:r>
        <w:rPr>
          <w:color w:val="1a1618"/>
        </w:rPr>
        <w:t>Promissaria Acquirente. La Parte Promittente Venditrice dichiara e garantisce che l’immobile oggetto del presente contratto è in regola con la vigente normativa energetica.</w:t>
      </w:r>
      <w:r/>
    </w:p>
    <w:p>
      <w:pPr>
        <w:pStyle w:val="para1"/>
        <w:ind w:right="133"/>
        <w:spacing w:before="1"/>
      </w:pPr>
      <w:r>
        <w:rPr>
          <w:color w:val="1a1618"/>
        </w:rPr>
        <w:t>La Parte Promittente Venditrice si impegna a consegnare alla Parte Promissaria Acquirente, al momento dell’atto traslativo, l’Attestato di Certificazione Energetica relativo all’immobile in oggetto prescritto dal d.lgs. 192/2005 e s.m.i.</w:t>
      </w:r>
      <w:r/>
    </w:p>
    <w:p>
      <w:pPr>
        <w:pStyle w:val="para1"/>
        <w:ind w:left="0"/>
        <w:spacing w:before="2"/>
        <w:jc w:val="left"/>
      </w:pPr>
      <w:r/>
    </w:p>
    <w:p>
      <w:pPr>
        <w:pStyle w:val="para2"/>
        <w:numPr>
          <w:ilvl w:val="0"/>
          <w:numId w:val="6"/>
        </w:numPr>
        <w:ind w:left="379" w:hanging="239"/>
        <w:spacing/>
        <w:jc w:val="left"/>
        <w:tabs defTabSz="720">
          <w:tab w:val="left" w:pos="379" w:leader="none"/>
        </w:tabs>
        <w:rPr>
          <w:color w:val="1a1618"/>
        </w:rPr>
      </w:pPr>
      <w:r>
        <w:rPr>
          <w:color w:val="1a1618"/>
        </w:rPr>
        <w:t>Dichiarazioni</w:t>
      </w:r>
      <w:r>
        <w:rPr>
          <w:color w:val="1a1618"/>
          <w:spacing w:val="-11" w:percent="91"/>
        </w:rPr>
        <w:t xml:space="preserve"> </w:t>
      </w:r>
      <w:r>
        <w:rPr>
          <w:color w:val="1a1618"/>
        </w:rPr>
        <w:t>urbanistiche</w:t>
      </w:r>
      <w:r>
        <w:rPr>
          <w:color w:val="1a1618"/>
          <w:spacing w:val="-11" w:percent="91"/>
        </w:rPr>
        <w:t xml:space="preserve"> </w:t>
      </w:r>
      <w:r>
        <w:rPr>
          <w:color w:val="1a1618"/>
        </w:rPr>
        <w:t>e</w:t>
      </w:r>
      <w:r>
        <w:rPr>
          <w:color w:val="1a1618"/>
          <w:spacing w:val="-11" w:percent="91"/>
        </w:rPr>
        <w:t xml:space="preserve"> </w:t>
      </w:r>
      <w:r>
        <w:rPr>
          <w:color w:val="1a1618"/>
        </w:rPr>
        <w:t>di</w:t>
      </w:r>
      <w:r>
        <w:rPr>
          <w:color w:val="1a1618"/>
          <w:spacing w:val="-9" w:percent="92"/>
        </w:rPr>
        <w:t xml:space="preserve"> </w:t>
      </w:r>
      <w:r>
        <w:rPr>
          <w:color w:val="1a1618"/>
        </w:rPr>
        <w:t>conformità</w:t>
      </w:r>
      <w:r>
        <w:rPr>
          <w:color w:val="1a1618"/>
          <w:spacing w:val="-11" w:percent="91"/>
        </w:rPr>
        <w:t xml:space="preserve"> </w:t>
      </w:r>
      <w:r>
        <w:rPr>
          <w:color w:val="1a1618"/>
          <w:spacing w:val="-2" w:percent="98"/>
        </w:rPr>
        <w:t>amministrativa</w:t>
      </w:r>
      <w:r>
        <w:rPr>
          <w:color w:val="1a1618"/>
        </w:rPr>
      </w:r>
    </w:p>
    <w:p>
      <w:pPr>
        <w:pStyle w:val="para5"/>
        <w:numPr>
          <w:ilvl w:val="0"/>
          <w:numId w:val="3"/>
        </w:numPr>
        <w:ind w:left="340" w:hanging="200"/>
        <w:spacing w:line="252" w:lineRule="exact"/>
        <w:tabs defTabSz="720">
          <w:tab w:val="left" w:pos="340" w:leader="none"/>
        </w:tabs>
      </w:pPr>
      <w:r>
        <w:rPr>
          <w:color w:val="1a1618"/>
        </w:rPr>
        <w:t>IPOTESI</w:t>
      </w:r>
      <w:r>
        <w:rPr>
          <w:color w:val="1a1618"/>
          <w:spacing w:val="-8" w:percent="92"/>
        </w:rPr>
        <w:t xml:space="preserve"> </w:t>
      </w:r>
      <w:r>
        <w:rPr>
          <w:color w:val="1a1618"/>
        </w:rPr>
        <w:t>-</w:t>
      </w:r>
      <w:r>
        <w:rPr>
          <w:color w:val="1a1618"/>
          <w:spacing w:val="-2" w:percent="98"/>
        </w:rPr>
        <w:t xml:space="preserve"> </w:t>
      </w:r>
      <w:r>
        <w:rPr>
          <w:color w:val="1a1618"/>
        </w:rPr>
        <w:t>IMMOBILI</w:t>
      </w:r>
      <w:r>
        <w:rPr>
          <w:color w:val="1a1618"/>
          <w:spacing w:val="-5" w:percent="95"/>
        </w:rPr>
        <w:t xml:space="preserve"> </w:t>
      </w:r>
      <w:r>
        <w:rPr>
          <w:color w:val="1a1618"/>
        </w:rPr>
        <w:t>REALIZZATI</w:t>
      </w:r>
      <w:r>
        <w:rPr>
          <w:color w:val="1a1618"/>
          <w:spacing w:val="-7" w:percent="93"/>
        </w:rPr>
        <w:t xml:space="preserve"> </w:t>
      </w:r>
      <w:r>
        <w:rPr>
          <w:i/>
          <w:color w:val="1a1618"/>
        </w:rPr>
        <w:t>ANTE</w:t>
      </w:r>
      <w:r>
        <w:rPr>
          <w:i/>
          <w:color w:val="1a1618"/>
          <w:spacing w:val="-4" w:percent="96"/>
        </w:rPr>
        <w:t xml:space="preserve"> </w:t>
      </w:r>
      <w:r>
        <w:rPr>
          <w:color w:val="1a1618"/>
        </w:rPr>
        <w:t>1°</w:t>
      </w:r>
      <w:r>
        <w:rPr>
          <w:color w:val="1a1618"/>
          <w:spacing w:val="-5" w:percent="95"/>
        </w:rPr>
        <w:t xml:space="preserve"> </w:t>
      </w:r>
      <w:r>
        <w:rPr>
          <w:color w:val="1a1618"/>
        </w:rPr>
        <w:t>SETTEMBRE</w:t>
      </w:r>
      <w:r>
        <w:rPr>
          <w:color w:val="1a1618"/>
          <w:spacing w:val="-4" w:percent="96"/>
        </w:rPr>
        <w:t xml:space="preserve"> 1967</w:t>
      </w:r>
      <w:r/>
    </w:p>
    <w:p>
      <w:pPr>
        <w:pStyle w:val="para1"/>
        <w:ind w:right="133"/>
        <w:spacing w:before="1"/>
      </w:pPr>
      <w:r>
        <w:rPr>
          <w:color w:val="1a1618"/>
        </w:rPr>
        <w:t>Per quanto possa occorrere, benché il presente contratto non abbia natura traslativa o costitutiva di diritti reali, LA PARTE PROMITTENTE VENDITRICE DICHIARA, ai sensi della vigente normativa urbanistica ed</w:t>
      </w:r>
      <w:r>
        <w:rPr>
          <w:color w:val="1a1618"/>
          <w:spacing w:val="16" w:percent="116"/>
        </w:rPr>
        <w:t xml:space="preserve"> </w:t>
      </w:r>
      <w:r>
        <w:rPr>
          <w:color w:val="1a1618"/>
        </w:rPr>
        <w:t>edilizia,</w:t>
      </w:r>
      <w:r>
        <w:rPr>
          <w:color w:val="1a1618"/>
          <w:spacing w:val="18" w:percent="118"/>
        </w:rPr>
        <w:t xml:space="preserve"> </w:t>
      </w:r>
      <w:r>
        <w:rPr>
          <w:color w:val="1a1618"/>
        </w:rPr>
        <w:t>CHE</w:t>
      </w:r>
      <w:r>
        <w:rPr>
          <w:color w:val="1a1618"/>
          <w:spacing w:val="19" w:percent="119"/>
        </w:rPr>
        <w:t xml:space="preserve"> </w:t>
      </w:r>
      <w:r>
        <w:rPr>
          <w:color w:val="1a1618"/>
        </w:rPr>
        <w:t>LE</w:t>
      </w:r>
      <w:r>
        <w:rPr>
          <w:color w:val="1a1618"/>
          <w:spacing w:val="18" w:percent="118"/>
        </w:rPr>
        <w:t xml:space="preserve"> </w:t>
      </w:r>
      <w:r>
        <w:rPr>
          <w:color w:val="1a1618"/>
        </w:rPr>
        <w:t>OPERE</w:t>
      </w:r>
      <w:r>
        <w:rPr>
          <w:color w:val="1a1618"/>
          <w:spacing w:val="19" w:percent="119"/>
        </w:rPr>
        <w:t xml:space="preserve"> </w:t>
      </w:r>
      <w:r>
        <w:rPr>
          <w:color w:val="1a1618"/>
        </w:rPr>
        <w:t>DI</w:t>
      </w:r>
      <w:r>
        <w:rPr>
          <w:color w:val="1a1618"/>
          <w:spacing w:val="17" w:percent="117"/>
        </w:rPr>
        <w:t xml:space="preserve"> </w:t>
      </w:r>
      <w:r>
        <w:rPr>
          <w:color w:val="1a1618"/>
        </w:rPr>
        <w:t>COSTRUZIONE</w:t>
      </w:r>
      <w:r>
        <w:rPr>
          <w:color w:val="1a1618"/>
          <w:spacing w:val="21" w:percent="121"/>
        </w:rPr>
        <w:t xml:space="preserve"> </w:t>
      </w:r>
      <w:r>
        <w:rPr>
          <w:color w:val="1a1618"/>
        </w:rPr>
        <w:t>DEL</w:t>
      </w:r>
      <w:r>
        <w:rPr>
          <w:color w:val="1a1618"/>
          <w:spacing w:val="18" w:percent="118"/>
        </w:rPr>
        <w:t xml:space="preserve"> </w:t>
      </w:r>
      <w:r>
        <w:rPr>
          <w:color w:val="1a1618"/>
        </w:rPr>
        <w:t>FABBRICATO</w:t>
      </w:r>
      <w:r>
        <w:rPr>
          <w:color w:val="1a1618"/>
          <w:spacing w:val="20" w:percent="120"/>
        </w:rPr>
        <w:t xml:space="preserve"> </w:t>
      </w:r>
      <w:r>
        <w:rPr>
          <w:color w:val="1a1618"/>
        </w:rPr>
        <w:t>IN</w:t>
      </w:r>
      <w:r>
        <w:rPr>
          <w:color w:val="1a1618"/>
          <w:spacing w:val="21" w:percent="121"/>
        </w:rPr>
        <w:t xml:space="preserve"> </w:t>
      </w:r>
      <w:r>
        <w:rPr>
          <w:color w:val="1a1618"/>
        </w:rPr>
        <w:t>OGGETTO</w:t>
      </w:r>
      <w:r>
        <w:rPr>
          <w:color w:val="1a1618"/>
          <w:spacing w:val="17" w:percent="117"/>
        </w:rPr>
        <w:t xml:space="preserve"> </w:t>
      </w:r>
      <w:r>
        <w:rPr>
          <w:color w:val="1a1618"/>
        </w:rPr>
        <w:t>SONO</w:t>
      </w:r>
      <w:r>
        <w:rPr>
          <w:color w:val="1a1618"/>
          <w:spacing w:val="21" w:percent="121"/>
        </w:rPr>
        <w:t xml:space="preserve"> </w:t>
      </w:r>
      <w:r>
        <w:rPr>
          <w:color w:val="1a1618"/>
          <w:spacing w:val="-2" w:percent="98"/>
        </w:rPr>
        <w:t>INIZIATE</w:t>
      </w:r>
      <w:r/>
    </w:p>
    <w:p>
      <w:pPr>
        <w:pStyle w:val="para1"/>
        <w:ind w:right="136"/>
        <w:tabs defTabSz="720">
          <w:tab w:val="left" w:pos="4136" w:leader="none"/>
        </w:tabs>
      </w:pPr>
      <w:r>
        <w:rPr>
          <w:color w:val="1a1618"/>
        </w:rPr>
        <w:t>IN DATA ANTERIORE AL GIORNO 1° SETTEMBRE 1967 (ipotesi eventuale) e che successivamente il Comune di</w:t>
      </w:r>
      <w:r>
        <w:rPr>
          <w:color w:val="1a1618"/>
          <w:u w:color="191517" w:val="single"/>
        </w:rPr>
        <w:tab/>
      </w:r>
      <w:r>
        <w:rPr>
          <w:color w:val="1a1618"/>
        </w:rPr>
        <w:t>ha rilasciato i seguenti provvedimenti:</w:t>
      </w:r>
      <w:r/>
    </w:p>
    <w:p>
      <w:pPr>
        <w:pStyle w:val="para5"/>
        <w:numPr>
          <w:ilvl w:val="0"/>
          <w:numId w:val="2"/>
        </w:numPr>
        <w:ind w:left="264" w:hanging="124"/>
        <w:spacing w:line="252" w:lineRule="exact"/>
        <w:tabs defTabSz="720">
          <w:tab w:val="left" w:pos="264" w:leader="none"/>
          <w:tab w:val="left" w:pos="3644" w:leader="none"/>
        </w:tabs>
      </w:pPr>
      <w:r>
        <w:rPr>
          <w:color w:val="1a1618"/>
          <w:spacing w:val="-2" w:percent="98"/>
        </w:rPr>
        <w:t>concessione</w:t>
      </w:r>
      <w:r>
        <w:rPr>
          <w:color w:val="1a1618"/>
          <w:u w:color="191517" w:val="single"/>
        </w:rPr>
        <w:tab/>
      </w:r>
      <w:r>
        <w:rPr>
          <w:color w:val="1a1618"/>
          <w:spacing w:val="-10" w:percent="90"/>
        </w:rPr>
        <w:t>;</w:t>
      </w:r>
      <w:r/>
    </w:p>
    <w:p>
      <w:pPr>
        <w:pStyle w:val="para5"/>
        <w:numPr>
          <w:ilvl w:val="0"/>
          <w:numId w:val="2"/>
        </w:numPr>
        <w:ind w:left="264" w:hanging="124"/>
        <w:spacing w:line="252" w:lineRule="exact"/>
        <w:tabs defTabSz="720">
          <w:tab w:val="left" w:pos="264" w:leader="none"/>
          <w:tab w:val="left" w:pos="3704" w:leader="none"/>
        </w:tabs>
      </w:pPr>
      <w:r>
        <w:rPr>
          <w:color w:val="1a1618"/>
          <w:spacing w:val="-2" w:percent="98"/>
        </w:rPr>
        <w:t>sanatoria</w:t>
      </w:r>
      <w:r>
        <w:rPr>
          <w:color w:val="1a1618"/>
          <w:u w:color="191517" w:val="single"/>
        </w:rPr>
        <w:tab/>
      </w:r>
      <w:r>
        <w:rPr>
          <w:color w:val="1a1618"/>
          <w:spacing w:val="-10" w:percent="90"/>
        </w:rPr>
        <w:t>.</w:t>
      </w:r>
      <w:r/>
    </w:p>
    <w:p>
      <w:pPr>
        <w:pStyle w:val="para1"/>
        <w:ind w:left="0"/>
        <w:spacing/>
        <w:jc w:val="left"/>
      </w:pPr>
      <w:r/>
    </w:p>
    <w:p>
      <w:pPr>
        <w:pStyle w:val="para5"/>
        <w:numPr>
          <w:ilvl w:val="0"/>
          <w:numId w:val="3"/>
        </w:numPr>
        <w:ind w:left="414" w:hanging="274"/>
        <w:spacing w:before="1" w:line="252" w:lineRule="exact"/>
        <w:tabs defTabSz="720">
          <w:tab w:val="left" w:pos="414" w:leader="none"/>
        </w:tabs>
      </w:pPr>
      <w:r>
        <w:rPr>
          <w:color w:val="1a1618"/>
        </w:rPr>
        <w:t>IPOTESI</w:t>
      </w:r>
      <w:r>
        <w:rPr>
          <w:color w:val="1a1618"/>
          <w:spacing w:val="-7" w:percent="93"/>
        </w:rPr>
        <w:t xml:space="preserve"> </w:t>
      </w:r>
      <w:r>
        <w:rPr>
          <w:color w:val="1a1618"/>
        </w:rPr>
        <w:t>-</w:t>
      </w:r>
      <w:r>
        <w:rPr>
          <w:color w:val="1a1618"/>
          <w:spacing w:val="-5" w:percent="95"/>
        </w:rPr>
        <w:t xml:space="preserve"> </w:t>
      </w:r>
      <w:r>
        <w:rPr>
          <w:color w:val="1a1618"/>
        </w:rPr>
        <w:t>IMMOBILI</w:t>
      </w:r>
      <w:r>
        <w:rPr>
          <w:color w:val="1a1618"/>
          <w:spacing w:val="-5" w:percent="95"/>
        </w:rPr>
        <w:t xml:space="preserve"> </w:t>
      </w:r>
      <w:r>
        <w:rPr>
          <w:color w:val="1a1618"/>
        </w:rPr>
        <w:t>REALIZZATI</w:t>
      </w:r>
      <w:r>
        <w:rPr>
          <w:color w:val="1a1618"/>
          <w:spacing w:val="-6" w:percent="94"/>
        </w:rPr>
        <w:t xml:space="preserve"> </w:t>
      </w:r>
      <w:r>
        <w:rPr>
          <w:i/>
          <w:color w:val="1a1618"/>
        </w:rPr>
        <w:t>POST</w:t>
      </w:r>
      <w:r>
        <w:rPr>
          <w:i/>
          <w:color w:val="1a1618"/>
          <w:spacing w:val="-4" w:percent="96"/>
        </w:rPr>
        <w:t xml:space="preserve"> </w:t>
      </w:r>
      <w:r>
        <w:rPr>
          <w:color w:val="1a1618"/>
        </w:rPr>
        <w:t>1°</w:t>
      </w:r>
      <w:r>
        <w:rPr>
          <w:color w:val="1a1618"/>
          <w:spacing w:val="-5" w:percent="95"/>
        </w:rPr>
        <w:t xml:space="preserve"> </w:t>
      </w:r>
      <w:r>
        <w:rPr>
          <w:color w:val="1a1618"/>
        </w:rPr>
        <w:t>SETTEMBRE</w:t>
      </w:r>
      <w:r>
        <w:rPr>
          <w:color w:val="1a1618"/>
          <w:spacing w:val="-3" w:percent="97"/>
        </w:rPr>
        <w:t xml:space="preserve"> </w:t>
      </w:r>
      <w:r>
        <w:rPr>
          <w:color w:val="1a1618"/>
          <w:spacing w:val="-4" w:percent="96"/>
        </w:rPr>
        <w:t>1967</w:t>
      </w:r>
      <w:r/>
    </w:p>
    <w:p>
      <w:pPr>
        <w:pStyle w:val="para1"/>
        <w:ind w:right="137"/>
        <w:tabs defTabSz="720">
          <w:tab w:val="left" w:pos="6834" w:leader="none"/>
        </w:tabs>
      </w:pPr>
      <w:r>
        <w:rPr>
          <w:color w:val="1a1618"/>
        </w:rPr>
        <w:t xml:space="preserve">LA PARTE VENDITRICE, ai sensi della vigente normativa urbanistica ed edilizia, DICHIARA che il fabbricato di cui quanto in oggetto costituisce porzione è stato edificato in forza e in conformità ai seguenti provvedimenti rilasciati dal Comune di </w:t>
      </w:r>
      <w:r>
        <w:rPr>
          <w:color w:val="1a1618"/>
          <w:u w:color="191517" w:val="single"/>
        </w:rPr>
        <w:tab/>
      </w:r>
      <w:r>
        <w:rPr>
          <w:color w:val="1a1618"/>
          <w:spacing w:val="-10" w:percent="90"/>
        </w:rPr>
        <w:t>:</w:t>
      </w:r>
      <w:r/>
    </w:p>
    <w:p>
      <w:pPr>
        <w:pStyle w:val="para5"/>
        <w:numPr>
          <w:ilvl w:val="0"/>
          <w:numId w:val="1"/>
        </w:numPr>
        <w:ind w:left="430" w:hanging="290"/>
        <w:spacing w:before="1" w:line="252" w:lineRule="exact"/>
        <w:tabs defTabSz="720">
          <w:tab w:val="left" w:pos="430" w:leader="none"/>
        </w:tabs>
      </w:pPr>
      <w:r>
        <w:rPr>
          <w:color w:val="1a1618"/>
        </w:rPr>
        <w:t>&lt;LICENZA</w:t>
      </w:r>
      <w:r>
        <w:rPr>
          <w:color w:val="1a1618"/>
          <w:spacing w:val="31" w:percent="131"/>
        </w:rPr>
        <w:t xml:space="preserve">  </w:t>
      </w:r>
      <w:r>
        <w:rPr>
          <w:color w:val="1a1618"/>
        </w:rPr>
        <w:t>EDILIZIA/CONCESSIONE</w:t>
      </w:r>
      <w:r>
        <w:rPr>
          <w:color w:val="1a1618"/>
          <w:spacing w:val="31" w:percent="131"/>
        </w:rPr>
        <w:t xml:space="preserve">  </w:t>
      </w:r>
      <w:r>
        <w:rPr>
          <w:color w:val="1a1618"/>
        </w:rPr>
        <w:t>EDILIZIA/PERMESSO</w:t>
      </w:r>
      <w:r>
        <w:rPr>
          <w:color w:val="1a1618"/>
          <w:spacing w:val="32" w:percent="132"/>
        </w:rPr>
        <w:t xml:space="preserve">  </w:t>
      </w:r>
      <w:r>
        <w:rPr>
          <w:color w:val="1a1618"/>
        </w:rPr>
        <w:t>DI</w:t>
      </w:r>
      <w:r>
        <w:rPr>
          <w:color w:val="1a1618"/>
          <w:spacing w:val="30" w:percent="130"/>
        </w:rPr>
        <w:t xml:space="preserve">  </w:t>
      </w:r>
      <w:r>
        <w:rPr>
          <w:color w:val="1a1618"/>
        </w:rPr>
        <w:t>COSTRUIRE&gt;</w:t>
      </w:r>
      <w:r>
        <w:rPr>
          <w:color w:val="1a1618"/>
          <w:spacing w:val="32" w:percent="132"/>
        </w:rPr>
        <w:t xml:space="preserve">  </w:t>
      </w:r>
      <w:r>
        <w:rPr>
          <w:color w:val="1a1618"/>
        </w:rPr>
        <w:t>n.</w:t>
      </w:r>
      <w:r>
        <w:rPr>
          <w:color w:val="1a1618"/>
          <w:spacing w:val="31" w:percent="131"/>
        </w:rPr>
        <w:t xml:space="preserve">  </w:t>
      </w:r>
      <w:r>
        <w:rPr>
          <w:color w:val="1a1618"/>
          <w:spacing w:val="-2" w:percent="98"/>
        </w:rPr>
        <w:t>&lt;numero</w:t>
      </w:r>
      <w:r/>
    </w:p>
    <w:p>
      <w:pPr>
        <w:pStyle w:val="para1"/>
        <w:spacing w:line="252" w:lineRule="exact"/>
        <w:tabs defTabSz="720">
          <w:tab w:val="left" w:pos="7014" w:leader="none"/>
        </w:tabs>
      </w:pPr>
      <w:r>
        <w:rPr>
          <w:color w:val="1a1618"/>
        </w:rPr>
        <w:t>concessione&gt;</w:t>
      </w:r>
      <w:r>
        <w:rPr>
          <w:color w:val="1a1618"/>
          <w:spacing w:val="-6" w:percent="94"/>
        </w:rPr>
        <w:t xml:space="preserve"> </w:t>
      </w:r>
      <w:r>
        <w:rPr>
          <w:color w:val="1a1618"/>
        </w:rPr>
        <w:t>in</w:t>
      </w:r>
      <w:r>
        <w:rPr>
          <w:color w:val="1a1618"/>
          <w:spacing w:val="-3" w:percent="97"/>
        </w:rPr>
        <w:t xml:space="preserve"> </w:t>
      </w:r>
      <w:r>
        <w:rPr>
          <w:color w:val="1a1618"/>
        </w:rPr>
        <w:t>data</w:t>
      </w:r>
      <w:r>
        <w:rPr>
          <w:color w:val="1a1618"/>
          <w:spacing w:val="-4" w:percent="96"/>
        </w:rPr>
        <w:t xml:space="preserve"> </w:t>
      </w:r>
      <w:r>
        <w:rPr>
          <w:color w:val="1a1618"/>
        </w:rPr>
        <w:t>&lt;data&gt;</w:t>
      </w:r>
      <w:r>
        <w:rPr>
          <w:color w:val="1a1618"/>
          <w:spacing w:val="-3" w:percent="97"/>
        </w:rPr>
        <w:t xml:space="preserve"> </w:t>
      </w:r>
      <w:r>
        <w:rPr>
          <w:color w:val="1a1618"/>
        </w:rPr>
        <w:t>protocollo</w:t>
      </w:r>
      <w:r>
        <w:rPr>
          <w:color w:val="1a1618"/>
          <w:spacing w:val="-3" w:percent="97"/>
        </w:rPr>
        <w:t xml:space="preserve"> </w:t>
      </w:r>
      <w:r>
        <w:rPr>
          <w:color w:val="1a1618"/>
          <w:spacing w:val="-5" w:percent="95"/>
        </w:rPr>
        <w:t>n.</w:t>
      </w:r>
      <w:r>
        <w:rPr>
          <w:color w:val="1a1618"/>
          <w:u w:color="191517" w:val="single"/>
        </w:rPr>
        <w:tab/>
      </w:r>
      <w:r>
        <w:rPr>
          <w:color w:val="1a1618"/>
          <w:spacing w:val="-10" w:percent="90"/>
        </w:rPr>
        <w:t>;</w:t>
      </w:r>
      <w:r/>
    </w:p>
    <w:p>
      <w:pPr>
        <w:pStyle w:val="para5"/>
        <w:numPr>
          <w:ilvl w:val="0"/>
          <w:numId w:val="1"/>
        </w:numPr>
        <w:ind w:left="305" w:hanging="165"/>
        <w:spacing w:line="252" w:lineRule="exact"/>
        <w:tabs defTabSz="720">
          <w:tab w:val="left" w:pos="305" w:leader="none"/>
          <w:tab w:val="left" w:pos="9622" w:leader="none"/>
        </w:tabs>
      </w:pPr>
      <w:r>
        <w:rPr>
          <w:color w:val="1a1618"/>
        </w:rPr>
        <w:t>variante</w:t>
      </w:r>
      <w:r>
        <w:rPr>
          <w:color w:val="1a1618"/>
          <w:spacing w:val="-5" w:percent="95"/>
        </w:rPr>
        <w:t xml:space="preserve"> </w:t>
      </w:r>
      <w:r>
        <w:rPr>
          <w:color w:val="1a1618"/>
        </w:rPr>
        <w:t>in</w:t>
      </w:r>
      <w:r>
        <w:rPr>
          <w:color w:val="1a1618"/>
          <w:spacing w:val="-3" w:percent="97"/>
        </w:rPr>
        <w:t xml:space="preserve"> </w:t>
      </w:r>
      <w:r>
        <w:rPr>
          <w:color w:val="1a1618"/>
        </w:rPr>
        <w:t>corso</w:t>
      </w:r>
      <w:r>
        <w:rPr>
          <w:color w:val="1a1618"/>
          <w:spacing w:val="-5" w:percent="95"/>
        </w:rPr>
        <w:t xml:space="preserve"> </w:t>
      </w:r>
      <w:r>
        <w:rPr>
          <w:color w:val="1a1618"/>
        </w:rPr>
        <w:t>lavori</w:t>
      </w:r>
      <w:r>
        <w:rPr>
          <w:color w:val="1a1618"/>
          <w:spacing w:val="-2" w:percent="98"/>
        </w:rPr>
        <w:t xml:space="preserve"> </w:t>
      </w:r>
      <w:r>
        <w:rPr>
          <w:color w:val="1a1618"/>
        </w:rPr>
        <w:t>n.</w:t>
      </w:r>
      <w:r>
        <w:rPr>
          <w:color w:val="1a1618"/>
          <w:spacing w:val="-5" w:percent="95"/>
        </w:rPr>
        <w:t xml:space="preserve"> </w:t>
      </w:r>
      <w:r>
        <w:rPr>
          <w:color w:val="1a1618"/>
        </w:rPr>
        <w:t>&lt;numero</w:t>
      </w:r>
      <w:r>
        <w:rPr>
          <w:color w:val="1a1618"/>
          <w:spacing w:val="-3" w:percent="97"/>
        </w:rPr>
        <w:t xml:space="preserve"> </w:t>
      </w:r>
      <w:r>
        <w:rPr>
          <w:color w:val="1a1618"/>
        </w:rPr>
        <w:t>concessione&gt;</w:t>
      </w:r>
      <w:r>
        <w:rPr>
          <w:color w:val="1a1618"/>
          <w:spacing w:val="-1" w:percent="99"/>
        </w:rPr>
        <w:t xml:space="preserve"> </w:t>
      </w:r>
      <w:r>
        <w:rPr>
          <w:color w:val="1a1618"/>
        </w:rPr>
        <w:t>in</w:t>
      </w:r>
      <w:r>
        <w:rPr>
          <w:color w:val="1a1618"/>
          <w:spacing w:val="-6" w:percent="94"/>
        </w:rPr>
        <w:t xml:space="preserve"> </w:t>
      </w:r>
      <w:r>
        <w:rPr>
          <w:color w:val="1a1618"/>
        </w:rPr>
        <w:t>data</w:t>
      </w:r>
      <w:r>
        <w:rPr>
          <w:color w:val="1a1618"/>
          <w:spacing w:val="-4" w:percent="96"/>
        </w:rPr>
        <w:t xml:space="preserve"> </w:t>
      </w:r>
      <w:r>
        <w:rPr>
          <w:color w:val="1a1618"/>
        </w:rPr>
        <w:t>&lt;data&gt;</w:t>
      </w:r>
      <w:r>
        <w:rPr>
          <w:color w:val="1a1618"/>
          <w:spacing w:val="-5" w:percent="95"/>
        </w:rPr>
        <w:t xml:space="preserve"> </w:t>
      </w:r>
      <w:r>
        <w:rPr>
          <w:color w:val="1a1618"/>
        </w:rPr>
        <w:t>protocollo</w:t>
      </w:r>
      <w:r>
        <w:rPr>
          <w:color w:val="1a1618"/>
          <w:spacing w:val="-2" w:percent="98"/>
        </w:rPr>
        <w:t xml:space="preserve"> </w:t>
      </w:r>
      <w:r>
        <w:rPr>
          <w:color w:val="1a1618"/>
          <w:spacing w:val="-5" w:percent="95"/>
        </w:rPr>
        <w:t>n.</w:t>
      </w:r>
      <w:r>
        <w:rPr>
          <w:color w:val="1a1618"/>
          <w:u w:color="191517" w:val="single"/>
        </w:rPr>
        <w:tab/>
      </w:r>
      <w:r>
        <w:rPr>
          <w:color w:val="1a1618"/>
          <w:spacing w:val="-10" w:percent="90"/>
        </w:rPr>
        <w:t>;</w:t>
      </w:r>
      <w:r/>
    </w:p>
    <w:p>
      <w:pPr>
        <w:pStyle w:val="para5"/>
        <w:numPr>
          <w:ilvl w:val="0"/>
          <w:numId w:val="1"/>
        </w:numPr>
        <w:ind w:left="140" w:right="161" w:hanging="1"/>
        <w:spacing w:before="1"/>
        <w:tabs defTabSz="720">
          <w:tab w:val="left" w:pos="140" w:leader="none"/>
          <w:tab w:val="left" w:pos="304" w:leader="none"/>
          <w:tab w:val="left" w:pos="9171" w:leader="none"/>
          <w:tab w:val="left" w:pos="9673" w:leader="none"/>
        </w:tabs>
      </w:pPr>
      <w:r>
        <w:rPr>
          <w:color w:val="1a1618"/>
        </w:rPr>
        <w:t>D.I.A. (Dichiarazione di Inizio Attività) in data &lt;data&gt; protocollo n</w:t>
      </w:r>
      <w:r>
        <w:rPr>
          <w:color w:val="1a1618"/>
          <w:u w:color="191517" w:val="single"/>
        </w:rPr>
        <w:tab/>
        <w:tab/>
      </w:r>
      <w:r>
        <w:rPr>
          <w:color w:val="1a1618"/>
          <w:spacing w:val="-10" w:percent="90"/>
        </w:rPr>
        <w:t xml:space="preserve">. </w:t>
      </w:r>
      <w:r>
        <w:rPr>
          <w:color w:val="1a1618"/>
        </w:rPr>
        <w:t>Il fabbricato è stato dichiarato agibile con provvedimento in data &lt;data&gt; protocollo n.</w:t>
      </w:r>
      <w:r>
        <w:rPr>
          <w:color w:val="1a1618"/>
          <w:u w:color="191517" w:val="single"/>
        </w:rPr>
        <w:tab/>
      </w:r>
      <w:r>
        <w:rPr>
          <w:color w:val="1a1618"/>
          <w:spacing w:val="-2" w:percent="98"/>
        </w:rPr>
        <w:t xml:space="preserve">(inizio </w:t>
      </w:r>
      <w:r>
        <w:rPr>
          <w:color w:val="1a1618"/>
        </w:rPr>
        <w:t>lavori in data &lt;data&gt; e fine lavori in data &lt;data&gt;).</w:t>
      </w:r>
      <w:r/>
    </w:p>
    <w:p>
      <w:pPr>
        <w:pStyle w:val="para1"/>
        <w:ind w:right="130"/>
      </w:pPr>
      <w:r>
        <w:rPr>
          <w:color w:val="1a1618"/>
        </w:rPr>
        <w:t>Dichiara e garantisce da ultimo che quanto in oggetto è immune da vizi per i quali siano stati adottati provvedimenti</w:t>
      </w:r>
      <w:r>
        <w:rPr>
          <w:color w:val="1a1618"/>
          <w:spacing w:val="-1" w:percent="99"/>
        </w:rPr>
        <w:t xml:space="preserve"> </w:t>
      </w:r>
      <w:r>
        <w:rPr>
          <w:color w:val="1a1618"/>
        </w:rPr>
        <w:t>sanzionatori</w:t>
      </w:r>
      <w:r>
        <w:rPr>
          <w:color w:val="1a1618"/>
          <w:spacing w:val="-4" w:percent="96"/>
        </w:rPr>
        <w:t xml:space="preserve"> </w:t>
      </w:r>
      <w:r>
        <w:rPr>
          <w:color w:val="1a1618"/>
        </w:rPr>
        <w:t>ai</w:t>
      </w:r>
      <w:r>
        <w:rPr>
          <w:color w:val="1a1618"/>
          <w:spacing w:val="-1" w:percent="99"/>
        </w:rPr>
        <w:t xml:space="preserve"> </w:t>
      </w:r>
      <w:r>
        <w:rPr>
          <w:color w:val="1a1618"/>
        </w:rPr>
        <w:t>sensi</w:t>
      </w:r>
      <w:r>
        <w:rPr>
          <w:color w:val="1a1618"/>
          <w:spacing w:val="-1" w:percent="99"/>
        </w:rPr>
        <w:t xml:space="preserve"> </w:t>
      </w:r>
      <w:r>
        <w:rPr>
          <w:color w:val="1a1618"/>
        </w:rPr>
        <w:t>dell’art.</w:t>
      </w:r>
      <w:r>
        <w:rPr>
          <w:color w:val="1a1618"/>
          <w:spacing w:val="-2" w:percent="98"/>
        </w:rPr>
        <w:t xml:space="preserve"> </w:t>
      </w:r>
      <w:r>
        <w:rPr>
          <w:color w:val="1a1618"/>
        </w:rPr>
        <w:t>41</w:t>
      </w:r>
      <w:r>
        <w:rPr>
          <w:color w:val="1a1618"/>
          <w:spacing w:val="-5" w:percent="95"/>
        </w:rPr>
        <w:t xml:space="preserve"> </w:t>
      </w:r>
      <w:r>
        <w:rPr>
          <w:color w:val="1a1618"/>
        </w:rPr>
        <w:t>legge</w:t>
      </w:r>
      <w:r>
        <w:rPr>
          <w:color w:val="1a1618"/>
          <w:spacing w:val="-2" w:percent="98"/>
        </w:rPr>
        <w:t xml:space="preserve"> </w:t>
      </w:r>
      <w:r>
        <w:rPr>
          <w:color w:val="1a1618"/>
        </w:rPr>
        <w:t>1150/1942</w:t>
      </w:r>
      <w:r>
        <w:rPr>
          <w:color w:val="1a1618"/>
          <w:spacing w:val="-2" w:percent="98"/>
        </w:rPr>
        <w:t xml:space="preserve"> </w:t>
      </w:r>
      <w:r>
        <w:rPr>
          <w:color w:val="1a1618"/>
        </w:rPr>
        <w:t>e</w:t>
      </w:r>
      <w:r>
        <w:rPr>
          <w:color w:val="1a1618"/>
          <w:spacing w:val="-2" w:percent="98"/>
        </w:rPr>
        <w:t xml:space="preserve"> </w:t>
      </w:r>
      <w:r>
        <w:rPr>
          <w:color w:val="1a1618"/>
        </w:rPr>
        <w:t>successive</w:t>
      </w:r>
      <w:r>
        <w:rPr>
          <w:color w:val="1a1618"/>
          <w:spacing w:val="-2" w:percent="98"/>
        </w:rPr>
        <w:t xml:space="preserve"> </w:t>
      </w:r>
      <w:r>
        <w:rPr>
          <w:color w:val="1a1618"/>
        </w:rPr>
        <w:t>modifiche</w:t>
      </w:r>
      <w:r>
        <w:rPr>
          <w:color w:val="1a1618"/>
          <w:spacing w:val="-2" w:percent="98"/>
        </w:rPr>
        <w:t xml:space="preserve"> </w:t>
      </w:r>
      <w:r>
        <w:rPr>
          <w:color w:val="1a1618"/>
        </w:rPr>
        <w:t>e</w:t>
      </w:r>
      <w:r>
        <w:rPr>
          <w:color w:val="1a1618"/>
          <w:spacing w:val="-4" w:percent="96"/>
        </w:rPr>
        <w:t xml:space="preserve"> </w:t>
      </w:r>
      <w:r>
        <w:rPr>
          <w:color w:val="1a1618"/>
        </w:rPr>
        <w:t>integrazioni</w:t>
      </w:r>
      <w:r>
        <w:rPr>
          <w:color w:val="1a1618"/>
          <w:spacing w:val="-1" w:percent="99"/>
        </w:rPr>
        <w:t xml:space="preserve"> </w:t>
      </w:r>
      <w:r>
        <w:rPr>
          <w:color w:val="1a1618"/>
        </w:rPr>
        <w:t>o</w:t>
      </w:r>
      <w:r>
        <w:rPr>
          <w:color w:val="1a1618"/>
          <w:spacing w:val="-2" w:percent="98"/>
        </w:rPr>
        <w:t xml:space="preserve"> </w:t>
      </w:r>
      <w:r>
        <w:rPr>
          <w:color w:val="1a1618"/>
        </w:rPr>
        <w:t>per</w:t>
      </w:r>
      <w:r>
        <w:rPr>
          <w:color w:val="1a1618"/>
          <w:spacing w:val="-1" w:percent="99"/>
        </w:rPr>
        <w:t xml:space="preserve"> </w:t>
      </w:r>
      <w:r>
        <w:rPr>
          <w:color w:val="1a1618"/>
        </w:rPr>
        <w:t>i quali dovesse richiedersi concessione o autorizzazione in sanatoria ai sensi della legge 47/1985 e successive modificazioni e integrazioni e leggi successive e che pertanto l’immobile deve ritenersi conforme e in regola con la normativa urbanistica ed edilizia.</w:t>
      </w:r>
      <w:r/>
    </w:p>
    <w:p>
      <w:pPr>
        <w:pStyle w:val="para1"/>
        <w:ind w:left="0"/>
        <w:spacing w:before="1"/>
        <w:jc w:val="left"/>
      </w:pPr>
      <w:r/>
    </w:p>
    <w:p>
      <w:pPr>
        <w:pStyle w:val="para2"/>
        <w:numPr>
          <w:ilvl w:val="0"/>
          <w:numId w:val="6"/>
        </w:numPr>
        <w:ind w:left="379" w:hanging="239"/>
        <w:spacing w:before="1"/>
        <w:jc w:val="left"/>
        <w:tabs defTabSz="720">
          <w:tab w:val="left" w:pos="379" w:leader="none"/>
        </w:tabs>
        <w:rPr>
          <w:color w:val="1a1618"/>
        </w:rPr>
      </w:pPr>
      <w:r>
        <w:rPr>
          <w:color w:val="1a1618"/>
        </w:rPr>
        <w:t>Stipula</w:t>
      </w:r>
      <w:r>
        <w:rPr>
          <w:color w:val="1a1618"/>
          <w:spacing w:val="-11" w:percent="91"/>
        </w:rPr>
        <w:t xml:space="preserve"> </w:t>
      </w:r>
      <w:r>
        <w:rPr>
          <w:color w:val="1a1618"/>
        </w:rPr>
        <w:t>dell’atto</w:t>
      </w:r>
      <w:r>
        <w:rPr>
          <w:color w:val="1a1618"/>
          <w:spacing w:val="-8" w:percent="93"/>
        </w:rPr>
        <w:t xml:space="preserve"> </w:t>
      </w:r>
      <w:r>
        <w:rPr>
          <w:color w:val="1a1618"/>
        </w:rPr>
        <w:t>definitivo</w:t>
      </w:r>
      <w:r>
        <w:rPr>
          <w:color w:val="1a1618"/>
          <w:spacing w:val="-7" w:percent="94"/>
        </w:rPr>
        <w:t xml:space="preserve"> </w:t>
      </w:r>
      <w:r>
        <w:rPr>
          <w:color w:val="1a1618"/>
        </w:rPr>
        <w:t>di</w:t>
      </w:r>
      <w:r>
        <w:rPr>
          <w:color w:val="1a1618"/>
          <w:spacing w:val="-7" w:percent="94"/>
        </w:rPr>
        <w:t xml:space="preserve"> </w:t>
      </w:r>
      <w:r>
        <w:rPr>
          <w:color w:val="1a1618"/>
          <w:spacing w:val="-2" w:percent="98"/>
        </w:rPr>
        <w:t>compravendita</w:t>
      </w:r>
      <w:r>
        <w:rPr>
          <w:color w:val="1a1618"/>
        </w:rPr>
      </w:r>
    </w:p>
    <w:p>
      <w:pPr>
        <w:pStyle w:val="para1"/>
        <w:ind w:right="82"/>
        <w:spacing/>
        <w:jc w:val="left"/>
        <w:tabs defTabSz="720">
          <w:tab w:val="left" w:pos="9831" w:leader="none"/>
        </w:tabs>
      </w:pPr>
      <w:r>
        <w:rPr>
          <w:color w:val="1a1618"/>
        </w:rPr>
        <w:t xml:space="preserve">L’atto notarile definitivo di compravendita dovrà essere stipulato entro e non oltre il giorno </w:t>
      </w:r>
      <w:r>
        <w:rPr>
          <w:color w:val="1a1618"/>
          <w:u w:color="191517" w:val="single"/>
        </w:rPr>
        <w:tab/>
      </w:r>
      <w:r>
        <w:rPr>
          <w:color w:val="1a1618"/>
        </w:rPr>
        <w:t xml:space="preserve"> a</w:t>
      </w:r>
      <w:r>
        <w:rPr>
          <w:color w:val="1a1618"/>
          <w:spacing w:val="40" w:percent="140"/>
        </w:rPr>
        <w:t xml:space="preserve"> </w:t>
      </w:r>
      <w:r>
        <w:rPr>
          <w:color w:val="1a1618"/>
        </w:rPr>
        <w:t>ministero</w:t>
      </w:r>
      <w:r>
        <w:rPr>
          <w:color w:val="1a1618"/>
          <w:spacing w:val="40" w:percent="140"/>
        </w:rPr>
        <w:t xml:space="preserve"> </w:t>
      </w:r>
      <w:r>
        <w:rPr>
          <w:color w:val="1a1618"/>
        </w:rPr>
        <w:t>di</w:t>
      </w:r>
      <w:r>
        <w:rPr>
          <w:color w:val="1a1618"/>
          <w:spacing w:val="40" w:percent="140"/>
        </w:rPr>
        <w:t xml:space="preserve"> </w:t>
      </w:r>
      <w:r>
        <w:rPr>
          <w:color w:val="1a1618"/>
        </w:rPr>
        <w:t>notaio</w:t>
      </w:r>
      <w:r>
        <w:rPr>
          <w:color w:val="1a1618"/>
          <w:spacing w:val="40" w:percent="140"/>
        </w:rPr>
        <w:t xml:space="preserve"> </w:t>
      </w:r>
      <w:r>
        <w:rPr>
          <w:color w:val="1a1618"/>
        </w:rPr>
        <w:t>a</w:t>
      </w:r>
      <w:r>
        <w:rPr>
          <w:color w:val="1a1618"/>
          <w:spacing w:val="40" w:percent="140"/>
        </w:rPr>
        <w:t xml:space="preserve"> </w:t>
      </w:r>
      <w:r>
        <w:rPr>
          <w:color w:val="1a1618"/>
        </w:rPr>
        <w:t>scelta</w:t>
      </w:r>
      <w:r>
        <w:rPr>
          <w:color w:val="1a1618"/>
          <w:spacing w:val="40" w:percent="140"/>
        </w:rPr>
        <w:t xml:space="preserve"> </w:t>
      </w:r>
      <w:r>
        <w:rPr>
          <w:color w:val="1a1618"/>
        </w:rPr>
        <w:t>di</w:t>
      </w:r>
      <w:r>
        <w:rPr>
          <w:color w:val="1a1618"/>
          <w:spacing w:val="40" w:percent="140"/>
        </w:rPr>
        <w:t xml:space="preserve"> </w:t>
      </w:r>
      <w:r>
        <w:rPr>
          <w:color w:val="1a1618"/>
        </w:rPr>
        <w:t>Parte</w:t>
      </w:r>
      <w:r>
        <w:rPr>
          <w:color w:val="1a1618"/>
          <w:spacing w:val="40" w:percent="140"/>
        </w:rPr>
        <w:t xml:space="preserve"> </w:t>
      </w:r>
      <w:r>
        <w:rPr>
          <w:color w:val="1a1618"/>
        </w:rPr>
        <w:t>Promissaria</w:t>
      </w:r>
      <w:r>
        <w:rPr>
          <w:color w:val="1a1618"/>
          <w:spacing w:val="40" w:percent="140"/>
        </w:rPr>
        <w:t xml:space="preserve"> </w:t>
      </w:r>
      <w:r>
        <w:rPr>
          <w:color w:val="1a1618"/>
        </w:rPr>
        <w:t>Acquirente</w:t>
      </w:r>
      <w:r>
        <w:rPr>
          <w:color w:val="1a1618"/>
          <w:spacing w:val="40" w:percent="140"/>
        </w:rPr>
        <w:t xml:space="preserve"> </w:t>
      </w:r>
      <w:r>
        <w:rPr>
          <w:color w:val="1a1618"/>
        </w:rPr>
        <w:t>(con</w:t>
      </w:r>
      <w:r>
        <w:rPr>
          <w:color w:val="1a1618"/>
          <w:spacing w:val="40" w:percent="140"/>
        </w:rPr>
        <w:t xml:space="preserve"> </w:t>
      </w:r>
      <w:r>
        <w:rPr>
          <w:color w:val="1a1618"/>
        </w:rPr>
        <w:t>preavviso</w:t>
      </w:r>
      <w:r>
        <w:rPr>
          <w:color w:val="1a1618"/>
          <w:spacing w:val="39" w:percent="139"/>
        </w:rPr>
        <w:t xml:space="preserve"> </w:t>
      </w:r>
      <w:r>
        <w:rPr>
          <w:color w:val="1a1618"/>
        </w:rPr>
        <w:t>da</w:t>
      </w:r>
      <w:r>
        <w:rPr>
          <w:color w:val="1a1618"/>
          <w:spacing w:val="40" w:percent="140"/>
        </w:rPr>
        <w:t xml:space="preserve"> </w:t>
      </w:r>
      <w:r>
        <w:rPr>
          <w:color w:val="1a1618"/>
        </w:rPr>
        <w:t>comunicarsi</w:t>
      </w:r>
      <w:r>
        <w:rPr>
          <w:color w:val="1a1618"/>
          <w:spacing w:val="40" w:percent="140"/>
        </w:rPr>
        <w:t xml:space="preserve"> </w:t>
      </w:r>
      <w:r>
        <w:rPr>
          <w:color w:val="1a1618"/>
        </w:rPr>
        <w:t>alla</w:t>
      </w:r>
      <w:r>
        <w:rPr>
          <w:color w:val="1a1618"/>
          <w:spacing w:val="40" w:percent="140"/>
        </w:rPr>
        <w:t xml:space="preserve"> </w:t>
      </w:r>
      <w:r>
        <w:rPr>
          <w:color w:val="1a1618"/>
        </w:rPr>
        <w:t>Parte Promittente Venditrice almeno venti giorni prima della data stabilita per l’atto notarile) e contestualmente al rogito la Parte Promissaria Acquirente sarà immessa nel possesso e detenzione dell’immobile.</w:t>
      </w:r>
      <w:r/>
    </w:p>
    <w:p>
      <w:pPr>
        <w:pStyle w:val="para1"/>
        <w:spacing/>
        <w:jc w:val="left"/>
      </w:pPr>
      <w:r>
        <w:rPr>
          <w:color w:val="1a1618"/>
        </w:rPr>
        <w:t>Le</w:t>
      </w:r>
      <w:r>
        <w:rPr>
          <w:color w:val="1a1618"/>
          <w:spacing w:val="29" w:percent="129"/>
        </w:rPr>
        <w:t xml:space="preserve"> </w:t>
      </w:r>
      <w:r>
        <w:rPr>
          <w:color w:val="1a1618"/>
        </w:rPr>
        <w:t>Parti</w:t>
      </w:r>
      <w:r>
        <w:rPr>
          <w:color w:val="1a1618"/>
          <w:spacing w:val="30" w:percent="130"/>
        </w:rPr>
        <w:t xml:space="preserve"> </w:t>
      </w:r>
      <w:r>
        <w:rPr>
          <w:color w:val="1a1618"/>
        </w:rPr>
        <w:t>dichiarano</w:t>
      </w:r>
      <w:r>
        <w:rPr>
          <w:color w:val="1a1618"/>
          <w:spacing w:val="27" w:percent="127"/>
        </w:rPr>
        <w:t xml:space="preserve"> </w:t>
      </w:r>
      <w:r>
        <w:rPr>
          <w:color w:val="1a1618"/>
        </w:rPr>
        <w:t>che</w:t>
      </w:r>
      <w:r>
        <w:rPr>
          <w:color w:val="1a1618"/>
          <w:spacing w:val="27" w:percent="127"/>
        </w:rPr>
        <w:t xml:space="preserve"> </w:t>
      </w:r>
      <w:r>
        <w:rPr>
          <w:color w:val="1a1618"/>
        </w:rPr>
        <w:t>l’utilità</w:t>
      </w:r>
      <w:r>
        <w:rPr>
          <w:color w:val="1a1618"/>
          <w:spacing w:val="29" w:percent="129"/>
        </w:rPr>
        <w:t xml:space="preserve"> </w:t>
      </w:r>
      <w:r>
        <w:rPr>
          <w:color w:val="1a1618"/>
        </w:rPr>
        <w:t>economica</w:t>
      </w:r>
      <w:r>
        <w:rPr>
          <w:color w:val="1a1618"/>
          <w:spacing w:val="29" w:percent="129"/>
        </w:rPr>
        <w:t xml:space="preserve"> </w:t>
      </w:r>
      <w:r>
        <w:rPr>
          <w:color w:val="1a1618"/>
        </w:rPr>
        <w:t>del</w:t>
      </w:r>
      <w:r>
        <w:rPr>
          <w:color w:val="1a1618"/>
          <w:spacing w:val="28" w:percent="128"/>
        </w:rPr>
        <w:t xml:space="preserve"> </w:t>
      </w:r>
      <w:r>
        <w:rPr>
          <w:color w:val="1a1618"/>
        </w:rPr>
        <w:t>contratto</w:t>
      </w:r>
      <w:r>
        <w:rPr>
          <w:color w:val="1a1618"/>
          <w:spacing w:val="29" w:percent="129"/>
        </w:rPr>
        <w:t xml:space="preserve"> </w:t>
      </w:r>
      <w:r>
        <w:rPr>
          <w:color w:val="1a1618"/>
        </w:rPr>
        <w:t>e</w:t>
      </w:r>
      <w:r>
        <w:rPr>
          <w:color w:val="1a1618"/>
          <w:spacing w:val="29" w:percent="129"/>
        </w:rPr>
        <w:t xml:space="preserve"> </w:t>
      </w:r>
      <w:r>
        <w:rPr>
          <w:color w:val="1a1618"/>
        </w:rPr>
        <w:t>l’interesse</w:t>
      </w:r>
      <w:r>
        <w:rPr>
          <w:color w:val="1a1618"/>
          <w:spacing w:val="27" w:percent="127"/>
        </w:rPr>
        <w:t xml:space="preserve"> </w:t>
      </w:r>
      <w:r>
        <w:rPr>
          <w:color w:val="1a1618"/>
        </w:rPr>
        <w:t>alla</w:t>
      </w:r>
      <w:r>
        <w:rPr>
          <w:color w:val="1a1618"/>
          <w:spacing w:val="29" w:percent="129"/>
        </w:rPr>
        <w:t xml:space="preserve"> </w:t>
      </w:r>
      <w:r>
        <w:rPr>
          <w:color w:val="1a1618"/>
        </w:rPr>
        <w:t>stipula</w:t>
      </w:r>
      <w:r>
        <w:rPr>
          <w:color w:val="1a1618"/>
          <w:spacing w:val="29" w:percent="129"/>
        </w:rPr>
        <w:t xml:space="preserve"> </w:t>
      </w:r>
      <w:r>
        <w:rPr>
          <w:color w:val="1a1618"/>
        </w:rPr>
        <w:t>del</w:t>
      </w:r>
      <w:r>
        <w:rPr>
          <w:color w:val="1a1618"/>
          <w:spacing w:val="30" w:percent="130"/>
        </w:rPr>
        <w:t xml:space="preserve"> </w:t>
      </w:r>
      <w:r>
        <w:rPr>
          <w:color w:val="1a1618"/>
        </w:rPr>
        <w:t>medesimo</w:t>
      </w:r>
      <w:r>
        <w:rPr>
          <w:color w:val="1a1618"/>
          <w:spacing w:val="29" w:percent="129"/>
        </w:rPr>
        <w:t xml:space="preserve"> </w:t>
      </w:r>
      <w:r>
        <w:rPr>
          <w:color w:val="1a1618"/>
        </w:rPr>
        <w:t>andranno perduti con l’inutile decorso del termine, che dichiarano quindi essere essenziale.</w:t>
      </w:r>
      <w:r/>
    </w:p>
    <w:p>
      <w:pPr>
        <w:pStyle w:val="para1"/>
        <w:ind w:right="130"/>
      </w:pPr>
      <w:r>
        <w:rPr>
          <w:color w:val="1a1618"/>
        </w:rPr>
        <w:t>La Parte Promittente Venditrice si obbliga a produrre al notaio che sarà incaricato tutta la documentazione necessaria per</w:t>
      </w:r>
      <w:r>
        <w:rPr>
          <w:color w:val="1a1618"/>
          <w:spacing w:val="-1" w:percent="99"/>
        </w:rPr>
        <w:t xml:space="preserve"> </w:t>
      </w:r>
      <w:r>
        <w:rPr>
          <w:color w:val="1a1618"/>
        </w:rPr>
        <w:t>l’istruzione della pratica almeno venti giorni prima della data come sopra stabilita per il rogito e, ai sensi di quanto disposto dall’art. 19, comma 14, d.l. 31 maggio 2010, n. 78, pubblicato in Gazzetta Ufficiale</w:t>
      </w:r>
      <w:r>
        <w:rPr>
          <w:color w:val="1a1618"/>
          <w:spacing w:val="-3" w:percent="97"/>
        </w:rPr>
        <w:t xml:space="preserve"> </w:t>
      </w:r>
      <w:r>
        <w:rPr>
          <w:color w:val="1a1618"/>
        </w:rPr>
        <w:t>n.</w:t>
      </w:r>
      <w:r>
        <w:rPr>
          <w:color w:val="1a1618"/>
          <w:spacing w:val="-2" w:percent="98"/>
        </w:rPr>
        <w:t xml:space="preserve"> </w:t>
      </w:r>
      <w:r>
        <w:rPr>
          <w:color w:val="1a1618"/>
        </w:rPr>
        <w:t>125,</w:t>
      </w:r>
      <w:r>
        <w:rPr>
          <w:color w:val="1a1618"/>
          <w:spacing w:val="-2" w:percent="98"/>
        </w:rPr>
        <w:t xml:space="preserve"> </w:t>
      </w:r>
      <w:r>
        <w:rPr>
          <w:color w:val="1a1618"/>
        </w:rPr>
        <w:t>Serie</w:t>
      </w:r>
      <w:r>
        <w:rPr>
          <w:color w:val="1a1618"/>
          <w:spacing w:val="-3" w:percent="97"/>
        </w:rPr>
        <w:t xml:space="preserve"> </w:t>
      </w:r>
      <w:r>
        <w:rPr>
          <w:color w:val="1a1618"/>
        </w:rPr>
        <w:t>generale</w:t>
      </w:r>
      <w:r>
        <w:rPr>
          <w:color w:val="1a1618"/>
          <w:spacing w:val="-2" w:percent="98"/>
        </w:rPr>
        <w:t xml:space="preserve"> </w:t>
      </w:r>
      <w:r>
        <w:rPr>
          <w:color w:val="1a1618"/>
        </w:rPr>
        <w:t>del</w:t>
      </w:r>
      <w:r>
        <w:rPr>
          <w:color w:val="1a1618"/>
          <w:spacing w:val="-1" w:percent="99"/>
        </w:rPr>
        <w:t xml:space="preserve"> </w:t>
      </w:r>
      <w:r>
        <w:rPr>
          <w:color w:val="1a1618"/>
        </w:rPr>
        <w:t>31</w:t>
      </w:r>
      <w:r>
        <w:rPr>
          <w:color w:val="1a1618"/>
          <w:spacing w:val="-2" w:percent="98"/>
        </w:rPr>
        <w:t xml:space="preserve"> </w:t>
      </w:r>
      <w:r>
        <w:rPr>
          <w:color w:val="1a1618"/>
        </w:rPr>
        <w:t>maggio</w:t>
      </w:r>
      <w:r>
        <w:rPr>
          <w:color w:val="1a1618"/>
          <w:spacing w:val="-3" w:percent="97"/>
        </w:rPr>
        <w:t xml:space="preserve"> </w:t>
      </w:r>
      <w:r>
        <w:rPr>
          <w:color w:val="1a1618"/>
        </w:rPr>
        <w:t>2010,</w:t>
      </w:r>
      <w:r>
        <w:rPr>
          <w:color w:val="1a1618"/>
          <w:spacing w:val="-2" w:percent="98"/>
        </w:rPr>
        <w:t xml:space="preserve"> </w:t>
      </w:r>
      <w:r>
        <w:rPr>
          <w:color w:val="1a1618"/>
        </w:rPr>
        <w:t>convertito</w:t>
      </w:r>
      <w:r>
        <w:rPr>
          <w:color w:val="1a1618"/>
          <w:spacing w:val="-2" w:percent="98"/>
        </w:rPr>
        <w:t xml:space="preserve"> </w:t>
      </w:r>
      <w:r>
        <w:rPr>
          <w:color w:val="1a1618"/>
        </w:rPr>
        <w:t>con</w:t>
      </w:r>
      <w:r>
        <w:rPr>
          <w:color w:val="1a1618"/>
          <w:spacing w:val="-2" w:percent="98"/>
        </w:rPr>
        <w:t xml:space="preserve"> </w:t>
      </w:r>
      <w:r>
        <w:rPr>
          <w:color w:val="1a1618"/>
        </w:rPr>
        <w:t>modificazioni</w:t>
      </w:r>
      <w:r>
        <w:rPr>
          <w:color w:val="1a1618"/>
          <w:spacing w:val="-4" w:percent="96"/>
        </w:rPr>
        <w:t xml:space="preserve"> </w:t>
      </w:r>
      <w:r>
        <w:rPr>
          <w:color w:val="1a1618"/>
        </w:rPr>
        <w:t>dalla</w:t>
      </w:r>
      <w:r>
        <w:rPr>
          <w:color w:val="1a1618"/>
          <w:spacing w:val="-3" w:percent="97"/>
        </w:rPr>
        <w:t xml:space="preserve"> </w:t>
      </w:r>
      <w:r>
        <w:rPr>
          <w:color w:val="1a1618"/>
        </w:rPr>
        <w:t>legge</w:t>
      </w:r>
      <w:r>
        <w:rPr>
          <w:color w:val="1a1618"/>
          <w:spacing w:val="-2" w:percent="98"/>
        </w:rPr>
        <w:t xml:space="preserve"> </w:t>
      </w:r>
      <w:r>
        <w:rPr>
          <w:color w:val="1a1618"/>
        </w:rPr>
        <w:t>30</w:t>
      </w:r>
      <w:r>
        <w:rPr>
          <w:color w:val="1a1618"/>
          <w:spacing w:val="-2" w:percent="98"/>
        </w:rPr>
        <w:t xml:space="preserve"> </w:t>
      </w:r>
      <w:r>
        <w:rPr>
          <w:color w:val="1a1618"/>
        </w:rPr>
        <w:t>luglio</w:t>
      </w:r>
      <w:r>
        <w:rPr>
          <w:color w:val="1a1618"/>
          <w:spacing w:val="-2" w:percent="98"/>
        </w:rPr>
        <w:t xml:space="preserve"> 2010,</w:t>
      </w:r>
      <w:r/>
    </w:p>
    <w:p>
      <w:pPr>
        <w:pStyle w:val="para1"/>
        <w:ind w:right="133"/>
      </w:pPr>
      <w:r>
        <w:rPr>
          <w:color w:val="1a1618"/>
        </w:rPr>
        <w:t>n. 122, (pubblicato in Gazzetta Ufficiale n. 176, Suppl. Ord. 174/L del 30 luglio 2010) si impegna a ottemperare a quanto necessario, ove ne ricorra il caso, per far constare la conformità allo stato di fatto dei dati catastali e delle planimetrie nonché l’allineamento degli intestatari catastali e con le risultanze dei</w:t>
      </w:r>
      <w:r>
        <w:rPr>
          <w:color w:val="1a1618"/>
          <w:spacing w:val="40" w:percent="140"/>
        </w:rPr>
        <w:t xml:space="preserve"> </w:t>
      </w:r>
      <w:r>
        <w:rPr>
          <w:color w:val="1a1618"/>
        </w:rPr>
        <w:t>registri immobiliari.</w:t>
      </w:r>
      <w:r/>
    </w:p>
    <w:p>
      <w:pPr>
        <w:pStyle w:val="para1"/>
        <w:ind w:left="0"/>
        <w:spacing w:before="3"/>
        <w:jc w:val="left"/>
      </w:pPr>
      <w:r/>
    </w:p>
    <w:p>
      <w:pPr>
        <w:pStyle w:val="para2"/>
        <w:numPr>
          <w:ilvl w:val="0"/>
          <w:numId w:val="6"/>
        </w:numPr>
        <w:ind w:left="379" w:hanging="239"/>
        <w:tabs defTabSz="720">
          <w:tab w:val="left" w:pos="379" w:leader="none"/>
        </w:tabs>
        <w:rPr>
          <w:color w:val="1a1618"/>
        </w:rPr>
      </w:pPr>
      <w:r>
        <w:rPr>
          <w:color w:val="1a1618"/>
        </w:rPr>
        <w:t>Caparra</w:t>
      </w:r>
      <w:r>
        <w:rPr>
          <w:color w:val="1a1618"/>
          <w:spacing w:val="-8" w:percent="93"/>
        </w:rPr>
        <w:t xml:space="preserve"> </w:t>
      </w:r>
      <w:r>
        <w:rPr>
          <w:color w:val="1a1618"/>
        </w:rPr>
        <w:t>e</w:t>
      </w:r>
      <w:r>
        <w:rPr>
          <w:color w:val="1a1618"/>
          <w:spacing w:val="-9" w:percent="92"/>
        </w:rPr>
        <w:t xml:space="preserve"> </w:t>
      </w:r>
      <w:r>
        <w:rPr>
          <w:color w:val="1a1618"/>
        </w:rPr>
        <w:t>ripartizione</w:t>
      </w:r>
      <w:r>
        <w:rPr>
          <w:color w:val="1a1618"/>
          <w:spacing w:val="-8" w:percent="93"/>
        </w:rPr>
        <w:t xml:space="preserve"> </w:t>
      </w:r>
      <w:r>
        <w:rPr>
          <w:color w:val="1a1618"/>
        </w:rPr>
        <w:t>delle</w:t>
      </w:r>
      <w:r>
        <w:rPr>
          <w:color w:val="1a1618"/>
          <w:spacing w:val="-9" w:percent="92"/>
        </w:rPr>
        <w:t xml:space="preserve"> </w:t>
      </w:r>
      <w:r>
        <w:rPr>
          <w:color w:val="1a1618"/>
        </w:rPr>
        <w:t>spese</w:t>
      </w:r>
      <w:r>
        <w:rPr>
          <w:color w:val="1a1618"/>
          <w:spacing w:val="-8" w:percent="93"/>
        </w:rPr>
        <w:t xml:space="preserve"> </w:t>
      </w:r>
      <w:r>
        <w:rPr>
          <w:color w:val="1a1618"/>
        </w:rPr>
        <w:t>dell’atto</w:t>
      </w:r>
      <w:r>
        <w:rPr>
          <w:color w:val="1a1618"/>
          <w:spacing w:val="-8" w:percent="93"/>
        </w:rPr>
        <w:t xml:space="preserve"> </w:t>
      </w:r>
      <w:r>
        <w:rPr>
          <w:color w:val="1a1618"/>
          <w:spacing w:val="-2" w:percent="98"/>
        </w:rPr>
        <w:t>definitivo</w:t>
      </w:r>
      <w:r>
        <w:rPr>
          <w:color w:val="1a1618"/>
        </w:rPr>
      </w:r>
    </w:p>
    <w:p>
      <w:pPr>
        <w:pStyle w:val="para1"/>
        <w:ind w:right="134" w:hanging="1"/>
      </w:pPr>
      <w:r>
        <w:rPr>
          <w:color w:val="1a1618"/>
        </w:rPr>
        <w:t>Al momento della stipula del contratto notarile definitivo le somme versate a titolo di caparra confirmatoria saranno computate in conto prezzo dell’immobile.</w:t>
      </w:r>
      <w:r/>
    </w:p>
    <w:p>
      <w:pPr>
        <w:pStyle w:val="para1"/>
        <w:ind w:right="134"/>
      </w:pPr>
      <w:r>
        <w:rPr>
          <w:color w:val="1a1618"/>
        </w:rPr>
        <w:t>Le spese, imposte e tasse per l’atto notarile definitivo saranno a carico della Parte Promissaria Acquirente a eccezione delle spese eventualmente tecniche, connesse e dipendenti che saranno a carico della Parte Promittente Venditrice e salvo quanto altro per legge.</w:t>
      </w:r>
      <w:r/>
    </w:p>
    <w:p>
      <w:pPr>
        <w:sectPr>
          <w:footnotePr>
            <w:pos w:val="pageBottom"/>
            <w:numFmt w:val="decimal"/>
            <w:numStart w:val="1"/>
            <w:numRestart w:val="continuous"/>
          </w:footnotePr>
          <w:endnotePr>
            <w:pos w:val="docEnd"/>
            <w:numFmt w:val="lowerRoman"/>
            <w:numStart w:val="1"/>
            <w:numRestart w:val="continuous"/>
          </w:endnotePr>
          <w:type w:val="nextPage"/>
          <w:pgSz w:h="16840" w:w="11900"/>
          <w:pgMar w:left="992" w:top="1340" w:right="992" w:bottom="280" w:header="0" w:footer="0"/>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3"/>
        <w:numPr>
          <w:ilvl w:val="0"/>
          <w:numId w:val="6"/>
        </w:numPr>
        <w:ind w:left="360" w:hanging="220"/>
        <w:spacing w:before="74" w:line="251" w:lineRule="exact"/>
        <w:jc w:val="left"/>
        <w:tabs defTabSz="720">
          <w:tab w:val="left" w:pos="360" w:leader="none"/>
        </w:tabs>
        <w:rPr>
          <w:color w:val="1a1618"/>
        </w:rPr>
      </w:pPr>
      <w:r>
        <w:rPr>
          <w:color w:val="1a1618"/>
        </w:rPr>
        <w:t>Prezzo</w:t>
      </w:r>
      <w:r>
        <w:rPr>
          <w:color w:val="1a1618"/>
          <w:spacing w:val="-3" w:percent="97"/>
        </w:rPr>
        <w:t xml:space="preserve"> </w:t>
      </w:r>
      <w:r>
        <w:rPr>
          <w:color w:val="1a1618"/>
        </w:rPr>
        <w:t>e</w:t>
      </w:r>
      <w:r>
        <w:rPr>
          <w:color w:val="1a1618"/>
          <w:spacing w:val="-2" w:percent="98"/>
        </w:rPr>
        <w:t xml:space="preserve"> pagamento</w:t>
      </w:r>
      <w:r>
        <w:rPr>
          <w:color w:val="1a1618"/>
        </w:rPr>
      </w:r>
    </w:p>
    <w:p>
      <w:pPr>
        <w:pStyle w:val="para1"/>
        <w:ind w:right="134"/>
        <w:spacing/>
        <w:jc w:val="left"/>
        <w:tabs defTabSz="720">
          <w:tab w:val="left" w:pos="9164" w:leader="none"/>
          <w:tab w:val="left" w:pos="9661" w:leader="none"/>
        </w:tabs>
      </w:pPr>
      <w:r>
        <w:rPr>
          <w:color w:val="1a1618"/>
        </w:rPr>
        <w:t>Il prezzo della vendita viene convenuto e accettato dalle Parti nella somma di euro</w:t>
      </w:r>
      <w:r>
        <w:rPr>
          <w:color w:val="1a1618"/>
          <w:u w:color="191517" w:val="single"/>
        </w:rPr>
        <w:tab/>
      </w:r>
      <w:r>
        <w:rPr>
          <w:color w:val="1a1618"/>
          <w:spacing w:val="-10" w:percent="90"/>
          <w:u w:color="191517" w:val="single"/>
        </w:rPr>
        <w:t>,</w:t>
      </w:r>
      <w:r>
        <w:rPr>
          <w:color w:val="1a1618"/>
          <w:u w:color="191517" w:val="single"/>
        </w:rPr>
        <w:tab/>
      </w:r>
      <w:r>
        <w:rPr>
          <w:color w:val="1a1618"/>
          <w:spacing w:val="-14" w:percent="86"/>
        </w:rPr>
        <w:t xml:space="preserve"> </w:t>
      </w:r>
      <w:r>
        <w:rPr>
          <w:color w:val="1a1618"/>
        </w:rPr>
        <w:t>, ed è regolato come segue:</w:t>
      </w:r>
      <w:r/>
    </w:p>
    <w:p>
      <w:pPr>
        <w:pStyle w:val="para1"/>
        <w:ind w:right="134"/>
        <w:spacing/>
        <w:jc w:val="left"/>
        <w:tabs defTabSz="720">
          <w:tab w:val="left" w:pos="2252" w:leader="none"/>
          <w:tab w:val="left" w:pos="2801" w:leader="none"/>
        </w:tabs>
      </w:pPr>
      <w:r>
        <w:rPr>
          <w:color w:val="1a1618"/>
        </w:rPr>
        <w:t>- euro</w:t>
      </w:r>
      <w:r>
        <w:rPr>
          <w:color w:val="1a1618"/>
          <w:u w:color="191517" w:val="single"/>
        </w:rPr>
        <w:tab/>
      </w:r>
      <w:r>
        <w:rPr>
          <w:color w:val="1a1618"/>
          <w:spacing w:val="-10" w:percent="90"/>
        </w:rPr>
        <w:t>,</w:t>
      </w:r>
      <w:r>
        <w:rPr>
          <w:color w:val="1a1618"/>
          <w:u w:color="191517" w:val="single"/>
        </w:rPr>
        <w:tab/>
      </w:r>
      <w:r>
        <w:rPr>
          <w:color w:val="1a1618"/>
        </w:rPr>
        <w:t>, a titolo di caparra confirmatoria, sono stati versati già prima d’ora dalla parte promissaria</w:t>
      </w:r>
      <w:r>
        <w:rPr>
          <w:color w:val="1a1618"/>
          <w:spacing w:val="-2" w:percent="98"/>
        </w:rPr>
        <w:t xml:space="preserve"> </w:t>
      </w:r>
      <w:r>
        <w:rPr>
          <w:color w:val="1a1618"/>
        </w:rPr>
        <w:t>acquirente</w:t>
      </w:r>
      <w:r>
        <w:rPr>
          <w:color w:val="1a1618"/>
          <w:spacing w:val="-2" w:percent="98"/>
        </w:rPr>
        <w:t xml:space="preserve"> </w:t>
      </w:r>
      <w:r>
        <w:rPr>
          <w:color w:val="1a1618"/>
        </w:rPr>
        <w:t>alla</w:t>
      </w:r>
      <w:r>
        <w:rPr>
          <w:color w:val="1a1618"/>
          <w:spacing w:val="-2" w:percent="98"/>
        </w:rPr>
        <w:t xml:space="preserve"> </w:t>
      </w:r>
      <w:r>
        <w:rPr>
          <w:color w:val="1a1618"/>
        </w:rPr>
        <w:t>parte promittente venditrice</w:t>
      </w:r>
      <w:r>
        <w:rPr>
          <w:color w:val="1a1618"/>
          <w:spacing w:val="-2" w:percent="98"/>
        </w:rPr>
        <w:t xml:space="preserve"> </w:t>
      </w:r>
      <w:r>
        <w:rPr>
          <w:color w:val="1a1618"/>
        </w:rPr>
        <w:t xml:space="preserve">a mezzo degli assegni circolari </w:t>
      </w:r>
      <w:r>
        <w:rPr>
          <w:i/>
          <w:color w:val="1a1618"/>
        </w:rPr>
        <w:t xml:space="preserve">infra </w:t>
      </w:r>
      <w:r>
        <w:rPr>
          <w:color w:val="1a1618"/>
        </w:rPr>
        <w:t>citati</w:t>
      </w:r>
      <w:r>
        <w:rPr>
          <w:color w:val="1a1618"/>
          <w:spacing w:val="-1" w:percent="99"/>
        </w:rPr>
        <w:t xml:space="preserve"> </w:t>
      </w:r>
      <w:r>
        <w:rPr>
          <w:color w:val="1a1618"/>
        </w:rPr>
        <w:t>e per</w:t>
      </w:r>
      <w:r>
        <w:rPr>
          <w:color w:val="1a1618"/>
          <w:spacing w:val="-1" w:percent="99"/>
        </w:rPr>
        <w:t xml:space="preserve"> </w:t>
      </w:r>
      <w:r>
        <w:rPr>
          <w:color w:val="1a1618"/>
        </w:rPr>
        <w:t>detto e tanto importo la Parte Promittente Venditrice rilascia corrispondente quietanza;</w:t>
      </w:r>
      <w:r/>
    </w:p>
    <w:p>
      <w:pPr>
        <w:pStyle w:val="para1"/>
        <w:ind w:right="133"/>
        <w:tabs defTabSz="720">
          <w:tab w:val="left" w:pos="2240" w:leader="none"/>
          <w:tab w:val="left" w:pos="3239" w:leader="none"/>
        </w:tabs>
      </w:pPr>
      <w:r>
        <w:rPr>
          <w:color w:val="1a1618"/>
        </w:rPr>
        <w:t>–</w:t>
      </w:r>
      <w:r>
        <w:rPr>
          <w:color w:val="1a1618"/>
          <w:spacing w:val="40" w:percent="140"/>
        </w:rPr>
        <w:t xml:space="preserve"> </w:t>
      </w:r>
      <w:r>
        <w:rPr>
          <w:color w:val="1a1618"/>
        </w:rPr>
        <w:t>euro</w:t>
      </w:r>
      <w:r>
        <w:rPr>
          <w:color w:val="1a1618"/>
          <w:u w:color="191517" w:val="single"/>
        </w:rPr>
        <w:tab/>
      </w:r>
      <w:r>
        <w:rPr>
          <w:color w:val="1a1618"/>
        </w:rPr>
        <w:t xml:space="preserve"> ,</w:t>
      </w:r>
      <w:r>
        <w:rPr>
          <w:color w:val="1a1618"/>
          <w:u w:color="191517" w:val="single"/>
        </w:rPr>
        <w:tab/>
      </w:r>
      <w:r>
        <w:rPr>
          <w:color w:val="1a1618"/>
        </w:rPr>
        <w:t>, ancora dovuti a saldo, dovranno essere pagati, a mezzo di assegni circolari/bonifico bancario e nel rispetto della normativa valutaria vigente, contestualmente alla</w:t>
      </w:r>
      <w:r>
        <w:rPr>
          <w:color w:val="1a1618"/>
          <w:spacing w:val="40" w:percent="140"/>
        </w:rPr>
        <w:t xml:space="preserve"> </w:t>
      </w:r>
      <w:r>
        <w:rPr>
          <w:color w:val="1a1618"/>
        </w:rPr>
        <w:t>sottoscrizione del contratto notarile definitivo di compravendita.</w:t>
      </w:r>
      <w:r/>
    </w:p>
    <w:p>
      <w:pPr>
        <w:pStyle w:val="para1"/>
        <w:ind w:left="0"/>
        <w:spacing w:before="24"/>
        <w:jc w:val="left"/>
      </w:pPr>
      <w:r/>
    </w:p>
    <w:p>
      <w:pPr>
        <w:pStyle w:val="para2"/>
        <w:numPr>
          <w:ilvl w:val="0"/>
          <w:numId w:val="6"/>
        </w:numPr>
        <w:ind w:left="379" w:hanging="239"/>
        <w:tabs defTabSz="720">
          <w:tab w:val="left" w:pos="379" w:leader="none"/>
        </w:tabs>
        <w:rPr>
          <w:color w:val="1a1618"/>
        </w:rPr>
      </w:pPr>
      <w:r>
        <w:rPr>
          <w:color w:val="1a1618"/>
        </w:rPr>
        <w:t>Misure</w:t>
      </w:r>
      <w:r>
        <w:rPr>
          <w:color w:val="1a1618"/>
          <w:spacing w:val="-11" w:percent="91"/>
        </w:rPr>
        <w:t xml:space="preserve"> </w:t>
      </w:r>
      <w:r>
        <w:rPr>
          <w:color w:val="1a1618"/>
        </w:rPr>
        <w:t>di</w:t>
      </w:r>
      <w:r>
        <w:rPr>
          <w:color w:val="1a1618"/>
          <w:spacing w:val="-8" w:percent="93"/>
        </w:rPr>
        <w:t xml:space="preserve"> </w:t>
      </w:r>
      <w:r>
        <w:rPr>
          <w:color w:val="1a1618"/>
        </w:rPr>
        <w:t>contrasto</w:t>
      </w:r>
      <w:r>
        <w:rPr>
          <w:color w:val="1a1618"/>
          <w:spacing w:val="-9" w:percent="92"/>
        </w:rPr>
        <w:t xml:space="preserve"> </w:t>
      </w:r>
      <w:r>
        <w:rPr>
          <w:color w:val="1a1618"/>
        </w:rPr>
        <w:t>dell’evasione</w:t>
      </w:r>
      <w:r>
        <w:rPr>
          <w:color w:val="1a1618"/>
          <w:spacing w:val="-9" w:percent="92"/>
        </w:rPr>
        <w:t xml:space="preserve"> </w:t>
      </w:r>
      <w:r>
        <w:rPr>
          <w:color w:val="1a1618"/>
        </w:rPr>
        <w:t>e</w:t>
      </w:r>
      <w:r>
        <w:rPr>
          <w:color w:val="1a1618"/>
          <w:spacing w:val="-9" w:percent="92"/>
        </w:rPr>
        <w:t xml:space="preserve"> </w:t>
      </w:r>
      <w:r>
        <w:rPr>
          <w:color w:val="1a1618"/>
        </w:rPr>
        <w:t>dell’elusione</w:t>
      </w:r>
      <w:r>
        <w:rPr>
          <w:color w:val="1a1618"/>
          <w:spacing w:val="-9" w:percent="92"/>
        </w:rPr>
        <w:t xml:space="preserve"> </w:t>
      </w:r>
      <w:r>
        <w:rPr>
          <w:color w:val="1a1618"/>
          <w:spacing w:val="-2" w:percent="98"/>
        </w:rPr>
        <w:t>fiscale</w:t>
      </w:r>
      <w:r>
        <w:rPr>
          <w:color w:val="1a1618"/>
        </w:rPr>
      </w:r>
    </w:p>
    <w:p>
      <w:pPr>
        <w:pStyle w:val="para1"/>
        <w:ind w:right="134"/>
      </w:pPr>
      <w:r>
        <w:rPr>
          <w:color w:val="1a1618"/>
        </w:rPr>
        <w:t>Per quanto occorrer possa, in ottemperanza a quanto disposto dall’art. 35, comma 22, d.l. 4 luglio 2006, n. 223, convertito nella legge 248/2006, LE PARTI DICHIARANO:</w:t>
      </w:r>
      <w:r/>
    </w:p>
    <w:p>
      <w:pPr>
        <w:pStyle w:val="para5"/>
        <w:numPr>
          <w:ilvl w:val="1"/>
          <w:numId w:val="6"/>
        </w:numPr>
        <w:ind w:left="500" w:right="132" w:hanging="360"/>
        <w:tabs defTabSz="720">
          <w:tab w:val="left" w:pos="479" w:leader="none"/>
          <w:tab w:val="left" w:pos="500" w:leader="none"/>
          <w:tab w:val="left" w:pos="2447" w:leader="none"/>
          <w:tab w:val="left" w:pos="2588" w:leader="none"/>
          <w:tab w:val="left" w:pos="2718" w:leader="none"/>
          <w:tab w:val="left" w:pos="2813" w:leader="none"/>
          <w:tab w:val="left" w:pos="3080" w:leader="none"/>
          <w:tab w:val="left" w:pos="4203" w:leader="none"/>
          <w:tab w:val="left" w:pos="4813" w:leader="none"/>
          <w:tab w:val="left" w:pos="5067" w:leader="none"/>
          <w:tab w:val="left" w:pos="5254" w:leader="none"/>
          <w:tab w:val="left" w:pos="5766" w:leader="none"/>
          <w:tab w:val="left" w:pos="7278" w:leader="none"/>
          <w:tab w:val="left" w:pos="7424" w:leader="none"/>
          <w:tab w:val="left" w:pos="8278" w:leader="none"/>
          <w:tab w:val="left" w:pos="9332" w:leader="none"/>
          <w:tab w:val="left" w:pos="9536" w:leader="none"/>
          <w:tab w:val="left" w:pos="9598" w:leader="none"/>
          <w:tab w:val="left" w:pos="9711" w:leader="none"/>
        </w:tabs>
      </w:pPr>
      <w:r>
        <w:rPr>
          <w:color w:val="1a1618"/>
        </w:rPr>
        <w:t>LA PARTE PROMITTENTE VENDITRICE: «che la presente compravendita è stata conclusa con l’intervento, quale mediatore, ai sensi degli artt. 1754 ss. c.c., dell’Agenzia</w:t>
      </w:r>
      <w:r>
        <w:rPr>
          <w:color w:val="1a1618"/>
          <w:u w:color="191517" w:val="single"/>
        </w:rPr>
        <w:tab/>
        <w:tab/>
        <w:tab/>
        <w:tab/>
      </w:r>
      <w:r>
        <w:rPr>
          <w:color w:val="1a1618"/>
        </w:rPr>
        <w:t>,</w:t>
      </w:r>
      <w:r>
        <w:rPr>
          <w:color w:val="1a1618"/>
          <w:spacing w:val="-14" w:percent="86"/>
        </w:rPr>
        <w:t xml:space="preserve"> </w:t>
      </w:r>
      <w:r>
        <w:rPr>
          <w:color w:val="1a1618"/>
        </w:rPr>
        <w:t xml:space="preserve">con sede in </w:t>
      </w:r>
      <w:r>
        <w:rPr>
          <w:color w:val="1a1618"/>
          <w:u w:color="191517" w:val="single"/>
        </w:rPr>
        <w:tab/>
        <w:tab/>
        <w:tab/>
      </w:r>
      <w:r>
        <w:rPr>
          <w:color w:val="1a1618"/>
        </w:rPr>
        <w:t xml:space="preserve">, partita IVA </w:t>
      </w:r>
      <w:r>
        <w:rPr>
          <w:color w:val="1a1618"/>
          <w:u w:color="191517" w:val="single"/>
        </w:rPr>
        <w:tab/>
        <w:tab/>
        <w:tab/>
        <w:tab/>
        <w:tab/>
      </w:r>
      <w:r>
        <w:rPr>
          <w:color w:val="1a1618"/>
        </w:rPr>
        <w:t xml:space="preserve">, legale rappresentante signor </w:t>
      </w:r>
      <w:r>
        <w:rPr>
          <w:color w:val="1a1618"/>
          <w:u w:color="191517" w:val="single"/>
        </w:rPr>
        <w:tab/>
        <w:tab/>
        <w:tab/>
        <w:tab/>
      </w:r>
      <w:r>
        <w:rPr>
          <w:color w:val="1a1618"/>
          <w:spacing w:val="-14" w:percent="86"/>
          <w:u w:color="191517" w:val="single"/>
        </w:rPr>
        <w:t xml:space="preserve"> </w:t>
      </w:r>
      <w:r>
        <w:rPr>
          <w:color w:val="1a1618"/>
          <w:spacing w:val="-26" w:percent="70"/>
          <w:w w:val="85"/>
        </w:rPr>
        <w:t>,</w:t>
      </w:r>
      <w:r>
        <w:rPr>
          <w:color w:val="1a1618"/>
          <w:w w:val="85"/>
        </w:rPr>
        <w:t xml:space="preserve"> </w:t>
      </w:r>
      <w:r>
        <w:rPr>
          <w:color w:val="1a1618"/>
        </w:rPr>
        <w:t>nato</w:t>
      </w:r>
      <w:r>
        <w:rPr>
          <w:color w:val="1a1618"/>
          <w:spacing w:val="80" w:percent="153"/>
          <w:w w:val="150"/>
        </w:rPr>
        <w:t xml:space="preserve"> </w:t>
      </w:r>
      <w:r>
        <w:rPr>
          <w:color w:val="1a1618"/>
        </w:rPr>
        <w:t>a</w:t>
      </w:r>
      <w:r>
        <w:rPr>
          <w:color w:val="1a1618"/>
          <w:u w:color="191517" w:val="single"/>
        </w:rPr>
        <w:tab/>
        <w:tab/>
      </w:r>
      <w:r>
        <w:rPr>
          <w:color w:val="1a1618"/>
          <w:spacing w:val="80" w:percent="179"/>
        </w:rPr>
        <w:t xml:space="preserve"> </w:t>
      </w:r>
      <w:r>
        <w:rPr>
          <w:color w:val="1a1618"/>
        </w:rPr>
        <w:t>il</w:t>
      </w:r>
      <w:r>
        <w:rPr>
          <w:color w:val="1a1618"/>
          <w:spacing w:val="80" w:percent="153"/>
          <w:w w:val="150"/>
        </w:rPr>
        <w:t xml:space="preserve"> </w:t>
      </w:r>
      <w:r>
        <w:rPr>
          <w:color w:val="1a1618"/>
        </w:rPr>
        <w:t>giorno</w:t>
      </w:r>
      <w:r>
        <w:rPr>
          <w:color w:val="1a1618"/>
          <w:u w:color="191517" w:val="single"/>
        </w:rPr>
        <w:tab/>
        <w:tab/>
      </w:r>
      <w:r>
        <w:rPr>
          <w:color w:val="1a1618"/>
        </w:rPr>
        <w:t>,</w:t>
      </w:r>
      <w:r>
        <w:rPr>
          <w:color w:val="1a1618"/>
          <w:spacing w:val="80" w:percent="153"/>
          <w:w w:val="150"/>
        </w:rPr>
        <w:t xml:space="preserve"> </w:t>
      </w:r>
      <w:r>
        <w:rPr>
          <w:color w:val="1a1618"/>
        </w:rPr>
        <w:t>codice</w:t>
      </w:r>
      <w:r>
        <w:rPr>
          <w:color w:val="1a1618"/>
          <w:spacing w:val="80" w:percent="153"/>
          <w:w w:val="150"/>
        </w:rPr>
        <w:t xml:space="preserve"> </w:t>
      </w:r>
      <w:r>
        <w:rPr>
          <w:color w:val="1a1618"/>
        </w:rPr>
        <w:t>fiscale</w:t>
      </w:r>
      <w:r>
        <w:rPr>
          <w:color w:val="1a1618"/>
          <w:spacing w:val="183" w:percent="281"/>
        </w:rPr>
        <w:t xml:space="preserve"> </w:t>
      </w:r>
      <w:r>
        <w:rPr>
          <w:color w:val="1a1618"/>
          <w:u w:color="191517" w:val="single"/>
        </w:rPr>
        <w:tab/>
        <w:tab/>
        <w:tab/>
        <w:tab/>
        <w:tab/>
      </w:r>
      <w:r>
        <w:rPr>
          <w:color w:val="1a1618"/>
        </w:rPr>
        <w:t xml:space="preserve"> , </w:t>
      </w:r>
      <w:r>
        <w:rPr>
          <w:color w:val="1a1618"/>
          <w:spacing w:val="-2" w:percent="98"/>
        </w:rPr>
        <w:t>iscritto/a</w:t>
      </w:r>
      <w:r>
        <w:rPr>
          <w:color w:val="1a1618"/>
          <w:u w:color="191517" w:val="single"/>
        </w:rPr>
        <w:tab/>
        <w:tab/>
        <w:tab/>
        <w:tab/>
        <w:tab/>
      </w:r>
      <w:r>
        <w:rPr>
          <w:color w:val="1a1618"/>
        </w:rPr>
        <w:t xml:space="preserve"> al</w:t>
      </w:r>
      <w:r>
        <w:rPr>
          <w:color w:val="1a1618"/>
          <w:spacing w:val="40" w:percent="140"/>
        </w:rPr>
        <w:t xml:space="preserve"> </w:t>
      </w:r>
      <w:r>
        <w:rPr>
          <w:color w:val="1a1618"/>
        </w:rPr>
        <w:t>n.</w:t>
      </w:r>
      <w:r>
        <w:rPr>
          <w:color w:val="1a1618"/>
          <w:u w:color="191517" w:val="single"/>
        </w:rPr>
        <w:tab/>
        <w:tab/>
        <w:tab/>
        <w:tab/>
      </w:r>
      <w:r>
        <w:rPr>
          <w:color w:val="1a1618"/>
          <w:spacing w:val="-13" w:percent="87"/>
        </w:rPr>
        <w:t xml:space="preserve"> </w:t>
      </w:r>
      <w:r>
        <w:rPr>
          <w:color w:val="1a1618"/>
        </w:rPr>
        <w:t>nella Sezione degli Agenti immobiliari presso il Ruolo</w:t>
      </w:r>
      <w:r>
        <w:rPr>
          <w:color w:val="1a1618"/>
          <w:spacing w:val="40" w:percent="140"/>
        </w:rPr>
        <w:t xml:space="preserve"> </w:t>
      </w:r>
      <w:r>
        <w:rPr>
          <w:color w:val="1a1618"/>
        </w:rPr>
        <w:t>mediatori</w:t>
      </w:r>
      <w:r>
        <w:rPr>
          <w:color w:val="1a1618"/>
          <w:spacing w:val="40" w:percent="140"/>
        </w:rPr>
        <w:t xml:space="preserve"> </w:t>
      </w:r>
      <w:r>
        <w:rPr>
          <w:color w:val="1a1618"/>
        </w:rPr>
        <w:t>della</w:t>
      </w:r>
      <w:r>
        <w:rPr>
          <w:color w:val="1a1618"/>
          <w:spacing w:val="40" w:percent="140"/>
        </w:rPr>
        <w:t xml:space="preserve"> </w:t>
      </w:r>
      <w:r>
        <w:rPr>
          <w:color w:val="1a1618"/>
        </w:rPr>
        <w:t>Camera</w:t>
      </w:r>
      <w:r>
        <w:rPr>
          <w:color w:val="1a1618"/>
          <w:spacing w:val="40" w:percent="140"/>
        </w:rPr>
        <w:t xml:space="preserve"> </w:t>
      </w:r>
      <w:r>
        <w:rPr>
          <w:color w:val="1a1618"/>
        </w:rPr>
        <w:t>di</w:t>
      </w:r>
      <w:r>
        <w:rPr>
          <w:color w:val="1a1618"/>
          <w:spacing w:val="40" w:percent="140"/>
        </w:rPr>
        <w:t xml:space="preserve"> </w:t>
      </w:r>
      <w:r>
        <w:rPr>
          <w:color w:val="1a1618"/>
        </w:rPr>
        <w:t>Commercio</w:t>
      </w:r>
      <w:r>
        <w:rPr>
          <w:color w:val="1a1618"/>
          <w:spacing w:val="40" w:percent="140"/>
        </w:rPr>
        <w:t xml:space="preserve"> </w:t>
      </w:r>
      <w:r>
        <w:rPr>
          <w:color w:val="1a1618"/>
        </w:rPr>
        <w:t>di</w:t>
      </w:r>
      <w:r>
        <w:rPr>
          <w:color w:val="1a1618"/>
          <w:u w:color="191517" w:val="single"/>
        </w:rPr>
        <w:tab/>
        <w:tab/>
        <w:tab/>
        <w:tab/>
      </w:r>
      <w:r>
        <w:rPr>
          <w:color w:val="1a1618"/>
          <w:spacing w:val="-3" w:percent="97"/>
        </w:rPr>
        <w:t xml:space="preserve"> </w:t>
      </w:r>
      <w:r>
        <w:rPr>
          <w:color w:val="1a1618"/>
        </w:rPr>
        <w:t>ovvero, ai sensi del d.lgs. 59/2010</w:t>
      </w:r>
      <w:r>
        <w:rPr>
          <w:color w:val="1a1618"/>
          <w:spacing w:val="80" w:percent="179"/>
        </w:rPr>
        <w:t xml:space="preserve"> </w:t>
      </w:r>
      <w:r>
        <w:rPr>
          <w:color w:val="1a1618"/>
        </w:rPr>
        <w:t>e</w:t>
      </w:r>
      <w:r>
        <w:rPr>
          <w:color w:val="1a1618"/>
          <w:spacing w:val="79" w:percent="178"/>
        </w:rPr>
        <w:t xml:space="preserve"> </w:t>
      </w:r>
      <w:r>
        <w:rPr>
          <w:color w:val="1a1618"/>
        </w:rPr>
        <w:t>della</w:t>
      </w:r>
      <w:r>
        <w:rPr>
          <w:color w:val="1a1618"/>
          <w:spacing w:val="79" w:percent="178"/>
        </w:rPr>
        <w:t xml:space="preserve"> </w:t>
      </w:r>
      <w:r>
        <w:rPr>
          <w:color w:val="1a1618"/>
        </w:rPr>
        <w:t>legge</w:t>
      </w:r>
      <w:r>
        <w:rPr>
          <w:color w:val="1a1618"/>
          <w:spacing w:val="80" w:percent="179"/>
        </w:rPr>
        <w:t xml:space="preserve"> </w:t>
      </w:r>
      <w:r>
        <w:rPr>
          <w:color w:val="1a1618"/>
        </w:rPr>
        <w:t>122/2010,</w:t>
      </w:r>
      <w:r>
        <w:rPr>
          <w:color w:val="1a1618"/>
          <w:spacing w:val="80" w:percent="179"/>
        </w:rPr>
        <w:t xml:space="preserve"> </w:t>
      </w:r>
      <w:r>
        <w:rPr>
          <w:color w:val="1a1618"/>
        </w:rPr>
        <w:t>al</w:t>
      </w:r>
      <w:r>
        <w:rPr>
          <w:color w:val="1a1618"/>
          <w:spacing w:val="80" w:percent="179"/>
        </w:rPr>
        <w:t xml:space="preserve"> </w:t>
      </w:r>
      <w:r>
        <w:rPr>
          <w:color w:val="1a1618"/>
        </w:rPr>
        <w:t>n.</w:t>
      </w:r>
      <w:r>
        <w:rPr>
          <w:color w:val="1a1618"/>
          <w:spacing w:val="78" w:percent="177"/>
        </w:rPr>
        <w:t xml:space="preserve"> </w:t>
      </w:r>
      <w:r>
        <w:rPr>
          <w:color w:val="1a1618"/>
        </w:rPr>
        <w:t>del</w:t>
      </w:r>
      <w:r>
        <w:rPr>
          <w:color w:val="1a1618"/>
          <w:spacing w:val="80" w:percent="179"/>
        </w:rPr>
        <w:t xml:space="preserve"> </w:t>
      </w:r>
      <w:r>
        <w:rPr>
          <w:color w:val="1a1618"/>
        </w:rPr>
        <w:t>Registro</w:t>
      </w:r>
      <w:r>
        <w:rPr>
          <w:color w:val="1a1618"/>
          <w:spacing w:val="80" w:percent="179"/>
        </w:rPr>
        <w:t xml:space="preserve"> </w:t>
      </w:r>
      <w:r>
        <w:rPr>
          <w:color w:val="1a1618"/>
        </w:rPr>
        <w:t>Imprese/REA</w:t>
      </w:r>
      <w:r>
        <w:rPr>
          <w:color w:val="1a1618"/>
          <w:spacing w:val="80" w:percent="179"/>
        </w:rPr>
        <w:t xml:space="preserve"> </w:t>
      </w:r>
      <w:r>
        <w:rPr>
          <w:color w:val="1a1618"/>
        </w:rPr>
        <w:t>della</w:t>
      </w:r>
      <w:r>
        <w:rPr>
          <w:color w:val="1a1618"/>
          <w:spacing w:val="80" w:percent="179"/>
        </w:rPr>
        <w:t xml:space="preserve"> </w:t>
      </w:r>
      <w:r>
        <w:rPr>
          <w:color w:val="1a1618"/>
        </w:rPr>
        <w:t>Camera</w:t>
      </w:r>
      <w:r>
        <w:rPr>
          <w:color w:val="1a1618"/>
          <w:spacing w:val="80" w:percent="179"/>
        </w:rPr>
        <w:t xml:space="preserve"> </w:t>
      </w:r>
      <w:r>
        <w:rPr>
          <w:color w:val="1a1618"/>
        </w:rPr>
        <w:t>di</w:t>
      </w:r>
      <w:r>
        <w:rPr>
          <w:color w:val="1a1618"/>
          <w:spacing w:val="80" w:percent="179"/>
        </w:rPr>
        <w:t xml:space="preserve"> </w:t>
      </w:r>
      <w:r>
        <w:rPr>
          <w:color w:val="1a1618"/>
        </w:rPr>
        <w:t xml:space="preserve">Commercio </w:t>
      </w:r>
      <w:r>
        <w:rPr>
          <w:color w:val="1a1618"/>
          <w:spacing w:val="-6" w:percent="94"/>
        </w:rPr>
        <w:t>di</w:t>
      </w:r>
      <w:r>
        <w:rPr>
          <w:color w:val="1a1618"/>
          <w:u w:color="191517" w:val="single"/>
        </w:rPr>
        <w:tab/>
        <w:tab/>
        <w:tab/>
        <w:tab/>
      </w:r>
      <w:r>
        <w:rPr>
          <w:color w:val="1a1618"/>
          <w:spacing w:val="-1" w:percent="99"/>
        </w:rPr>
        <w:t xml:space="preserve"> </w:t>
      </w:r>
      <w:r>
        <w:rPr>
          <w:color w:val="1a1618"/>
        </w:rPr>
        <w:t>,</w:t>
      </w:r>
      <w:r>
        <w:rPr>
          <w:color w:val="1a1618"/>
          <w:spacing w:val="40" w:percent="140"/>
        </w:rPr>
        <w:t xml:space="preserve"> </w:t>
      </w:r>
      <w:r>
        <w:rPr>
          <w:color w:val="1a1618"/>
        </w:rPr>
        <w:t>dal</w:t>
      </w:r>
      <w:r>
        <w:rPr>
          <w:color w:val="1a1618"/>
          <w:u w:color="191517" w:val="single"/>
        </w:rPr>
        <w:tab/>
        <w:tab/>
        <w:tab/>
      </w:r>
      <w:r>
        <w:rPr>
          <w:color w:val="1a1618"/>
          <w:spacing w:val="-14" w:percent="86"/>
        </w:rPr>
        <w:t xml:space="preserve"> </w:t>
      </w:r>
      <w:r>
        <w:rPr>
          <w:color w:val="1a1618"/>
        </w:rPr>
        <w:t>, la quale ha percepito da parte di essa promittente venditrice a titolo di provvigione e di rimborso spese la complessiva somma di euro</w:t>
      </w:r>
      <w:r>
        <w:rPr>
          <w:color w:val="1a1618"/>
          <w:u w:color="191517" w:val="single"/>
        </w:rPr>
        <w:tab/>
        <w:tab/>
        <w:tab/>
        <w:tab/>
        <w:tab/>
      </w:r>
      <w:r>
        <w:rPr>
          <w:color w:val="1a1618"/>
          <w:spacing w:val="-10" w:percent="90"/>
        </w:rPr>
        <w:t xml:space="preserve">, </w:t>
      </w:r>
      <w:r>
        <w:rPr>
          <w:color w:val="1a1618"/>
        </w:rPr>
        <w:t>IVA</w:t>
      </w:r>
      <w:r>
        <w:rPr>
          <w:color w:val="1a1618"/>
          <w:spacing w:val="40" w:percent="140"/>
        </w:rPr>
        <w:t xml:space="preserve"> </w:t>
      </w:r>
      <w:r>
        <w:rPr>
          <w:color w:val="1a1618"/>
        </w:rPr>
        <w:t>compresa,</w:t>
      </w:r>
      <w:r>
        <w:rPr>
          <w:color w:val="1a1618"/>
          <w:spacing w:val="40" w:percent="140"/>
        </w:rPr>
        <w:t xml:space="preserve"> </w:t>
      </w:r>
      <w:r>
        <w:rPr>
          <w:color w:val="1a1618"/>
        </w:rPr>
        <w:t>a</w:t>
      </w:r>
      <w:r>
        <w:rPr>
          <w:color w:val="1a1618"/>
          <w:spacing w:val="40" w:percent="140"/>
        </w:rPr>
        <w:t xml:space="preserve"> </w:t>
      </w:r>
      <w:r>
        <w:rPr>
          <w:color w:val="1a1618"/>
        </w:rPr>
        <w:t>mezzo</w:t>
      </w:r>
      <w:r>
        <w:rPr>
          <w:color w:val="1a1618"/>
          <w:spacing w:val="40" w:percent="140"/>
        </w:rPr>
        <w:t xml:space="preserve"> </w:t>
      </w:r>
      <w:r>
        <w:rPr>
          <w:color w:val="1a1618"/>
        </w:rPr>
        <w:t>di</w:t>
      </w:r>
      <w:r>
        <w:rPr>
          <w:color w:val="1a1618"/>
          <w:spacing w:val="40" w:percent="140"/>
        </w:rPr>
        <w:t xml:space="preserve"> </w:t>
      </w:r>
      <w:r>
        <w:rPr>
          <w:color w:val="1a1618"/>
        </w:rPr>
        <w:t>assegno</w:t>
      </w:r>
      <w:r>
        <w:rPr>
          <w:color w:val="1a1618"/>
          <w:spacing w:val="40" w:percent="140"/>
        </w:rPr>
        <w:t xml:space="preserve"> </w:t>
      </w:r>
      <w:r>
        <w:rPr>
          <w:color w:val="1a1618"/>
        </w:rPr>
        <w:t>bancario</w:t>
      </w:r>
      <w:r>
        <w:rPr>
          <w:color w:val="1a1618"/>
          <w:spacing w:val="40" w:percent="140"/>
        </w:rPr>
        <w:t xml:space="preserve"> </w:t>
      </w:r>
      <w:r>
        <w:rPr>
          <w:color w:val="1a1618"/>
        </w:rPr>
        <w:t>non</w:t>
      </w:r>
      <w:r>
        <w:rPr>
          <w:color w:val="1a1618"/>
          <w:spacing w:val="40" w:percent="140"/>
        </w:rPr>
        <w:t xml:space="preserve"> </w:t>
      </w:r>
      <w:r>
        <w:rPr>
          <w:color w:val="1a1618"/>
        </w:rPr>
        <w:t>trasferibile</w:t>
      </w:r>
      <w:r>
        <w:rPr>
          <w:color w:val="1a1618"/>
          <w:spacing w:val="40" w:percent="140"/>
        </w:rPr>
        <w:t xml:space="preserve"> </w:t>
      </w:r>
      <w:r>
        <w:rPr>
          <w:color w:val="1a1618"/>
        </w:rPr>
        <w:t>n.</w:t>
      </w:r>
      <w:r>
        <w:rPr>
          <w:color w:val="1a1618"/>
          <w:u w:color="191517" w:val="single"/>
        </w:rPr>
        <w:tab/>
        <w:tab/>
        <w:tab/>
      </w:r>
      <w:r>
        <w:rPr>
          <w:color w:val="1a1618"/>
        </w:rPr>
        <w:t xml:space="preserve"> , emesso dalla </w:t>
      </w:r>
      <w:r>
        <w:rPr>
          <w:color w:val="1a1618"/>
          <w:spacing w:val="-2" w:percent="98"/>
        </w:rPr>
        <w:t>banca</w:t>
      </w:r>
      <w:r>
        <w:rPr>
          <w:color w:val="1a1618"/>
          <w:u w:color="191517" w:val="single"/>
        </w:rPr>
        <w:tab/>
      </w:r>
      <w:r>
        <w:rPr>
          <w:color w:val="1a1618"/>
        </w:rPr>
        <w:t>,</w:t>
      </w:r>
      <w:r>
        <w:rPr>
          <w:color w:val="1a1618"/>
          <w:spacing w:val="5" w:percent="105"/>
        </w:rPr>
        <w:t xml:space="preserve"> </w:t>
      </w:r>
      <w:r>
        <w:rPr>
          <w:color w:val="1a1618"/>
        </w:rPr>
        <w:t>in</w:t>
      </w:r>
      <w:r>
        <w:rPr>
          <w:color w:val="1a1618"/>
          <w:spacing w:val="8" w:percent="108"/>
        </w:rPr>
        <w:t xml:space="preserve"> </w:t>
      </w:r>
      <w:r>
        <w:rPr>
          <w:color w:val="1a1618"/>
          <w:spacing w:val="-4" w:percent="96"/>
        </w:rPr>
        <w:t>data</w:t>
      </w:r>
      <w:r>
        <w:rPr>
          <w:color w:val="1a1618"/>
          <w:u w:color="191517" w:val="single"/>
        </w:rPr>
        <w:tab/>
      </w:r>
      <w:r>
        <w:rPr>
          <w:color w:val="1a1618"/>
        </w:rPr>
        <w:t>,</w:t>
      </w:r>
      <w:r>
        <w:rPr>
          <w:color w:val="1a1618"/>
          <w:spacing w:val="4" w:percent="104"/>
        </w:rPr>
        <w:t xml:space="preserve"> </w:t>
      </w:r>
      <w:r>
        <w:rPr>
          <w:color w:val="1a1618"/>
        </w:rPr>
        <w:t>tratto</w:t>
      </w:r>
      <w:r>
        <w:rPr>
          <w:color w:val="1a1618"/>
          <w:spacing w:val="5" w:percent="105"/>
        </w:rPr>
        <w:t xml:space="preserve"> </w:t>
      </w:r>
      <w:r>
        <w:rPr>
          <w:color w:val="1a1618"/>
        </w:rPr>
        <w:t>sul</w:t>
      </w:r>
      <w:r>
        <w:rPr>
          <w:color w:val="1a1618"/>
          <w:spacing w:val="5" w:percent="105"/>
        </w:rPr>
        <w:t xml:space="preserve"> </w:t>
      </w:r>
      <w:r>
        <w:rPr>
          <w:color w:val="1a1618"/>
        </w:rPr>
        <w:t>c/c</w:t>
      </w:r>
      <w:r>
        <w:rPr>
          <w:color w:val="1a1618"/>
          <w:spacing w:val="5" w:percent="105"/>
        </w:rPr>
        <w:t xml:space="preserve"> </w:t>
      </w:r>
      <w:r>
        <w:rPr>
          <w:color w:val="1a1618"/>
          <w:spacing w:val="-5" w:percent="95"/>
        </w:rPr>
        <w:t>n.</w:t>
      </w:r>
      <w:r>
        <w:rPr>
          <w:color w:val="1a1618"/>
          <w:u w:color="191517" w:val="single"/>
        </w:rPr>
        <w:tab/>
        <w:tab/>
        <w:tab/>
      </w:r>
      <w:r>
        <w:rPr>
          <w:color w:val="1a1618"/>
        </w:rPr>
        <w:t>,</w:t>
      </w:r>
      <w:r>
        <w:rPr>
          <w:color w:val="1a1618"/>
          <w:spacing w:val="4" w:percent="104"/>
        </w:rPr>
        <w:t xml:space="preserve"> </w:t>
      </w:r>
      <w:r>
        <w:rPr>
          <w:color w:val="1a1618"/>
        </w:rPr>
        <w:t>intestato</w:t>
      </w:r>
      <w:r>
        <w:rPr>
          <w:color w:val="1a1618"/>
          <w:spacing w:val="7" w:percent="107"/>
        </w:rPr>
        <w:t xml:space="preserve"> </w:t>
      </w:r>
      <w:r>
        <w:rPr>
          <w:color w:val="1a1618"/>
          <w:spacing w:val="-10" w:percent="90"/>
        </w:rPr>
        <w:t>a</w:t>
      </w:r>
      <w:r>
        <w:rPr>
          <w:color w:val="1a1618"/>
          <w:u w:color="191517" w:val="single"/>
        </w:rPr>
        <w:tab/>
        <w:tab/>
        <w:tab/>
      </w:r>
      <w:r>
        <w:rPr>
          <w:color w:val="1a1618"/>
          <w:spacing w:val="-5" w:percent="95"/>
        </w:rPr>
        <w:t>»;</w:t>
      </w:r>
      <w:r/>
    </w:p>
    <w:p>
      <w:pPr>
        <w:pStyle w:val="para1"/>
        <w:ind w:left="500"/>
        <w:spacing w:line="252" w:lineRule="exact"/>
      </w:pPr>
      <w:r>
        <w:rPr>
          <w:color w:val="1a1618"/>
        </w:rPr>
        <w:t>&lt;</w:t>
      </w:r>
      <w:r>
        <w:rPr>
          <w:color w:val="1a1618"/>
          <w:spacing w:val="-4" w:percent="96"/>
        </w:rPr>
        <w:t xml:space="preserve"> </w:t>
      </w:r>
      <w:r>
        <w:rPr>
          <w:color w:val="1a1618"/>
        </w:rPr>
        <w:t>inserire</w:t>
      </w:r>
      <w:r>
        <w:rPr>
          <w:color w:val="1a1618"/>
          <w:spacing w:val="-4" w:percent="96"/>
        </w:rPr>
        <w:t xml:space="preserve"> </w:t>
      </w:r>
      <w:r>
        <w:rPr>
          <w:color w:val="1a1618"/>
        </w:rPr>
        <w:t>estremi</w:t>
      </w:r>
      <w:r>
        <w:rPr>
          <w:color w:val="1a1618"/>
          <w:spacing w:val="-2" w:percent="98"/>
        </w:rPr>
        <w:t xml:space="preserve"> assegno&gt;.</w:t>
      </w:r>
      <w:r/>
    </w:p>
    <w:p>
      <w:pPr>
        <w:pStyle w:val="para5"/>
        <w:numPr>
          <w:ilvl w:val="1"/>
          <w:numId w:val="6"/>
        </w:numPr>
        <w:ind w:left="500" w:right="131" w:hanging="360"/>
        <w:spacing/>
        <w:jc w:val="left"/>
        <w:tabs defTabSz="720">
          <w:tab w:val="left" w:pos="415" w:leader="none"/>
          <w:tab w:val="left" w:pos="500" w:leader="none"/>
          <w:tab w:val="left" w:pos="2074" w:leader="none"/>
          <w:tab w:val="left" w:pos="2782" w:leader="none"/>
          <w:tab w:val="left" w:pos="3041" w:leader="none"/>
          <w:tab w:val="left" w:pos="3865" w:leader="none"/>
          <w:tab w:val="left" w:pos="4047" w:leader="none"/>
          <w:tab w:val="left" w:pos="4201" w:leader="none"/>
          <w:tab w:val="left" w:pos="4438" w:leader="none"/>
          <w:tab w:val="left" w:pos="4469" w:leader="none"/>
          <w:tab w:val="left" w:pos="4971" w:leader="none"/>
          <w:tab w:val="left" w:pos="5120" w:leader="none"/>
          <w:tab w:val="left" w:pos="5530" w:leader="none"/>
          <w:tab w:val="left" w:pos="6053" w:leader="none"/>
          <w:tab w:val="left" w:pos="6536" w:leader="none"/>
          <w:tab w:val="left" w:pos="6984" w:leader="none"/>
          <w:tab w:val="left" w:pos="7158" w:leader="none"/>
          <w:tab w:val="left" w:pos="7254" w:leader="none"/>
          <w:tab w:val="left" w:pos="7362" w:leader="none"/>
          <w:tab w:val="left" w:pos="7409" w:leader="none"/>
          <w:tab w:val="left" w:pos="7760" w:leader="none"/>
          <w:tab w:val="left" w:pos="7825" w:leader="none"/>
          <w:tab w:val="left" w:pos="8756" w:leader="none"/>
          <w:tab w:val="left" w:pos="8808" w:leader="none"/>
          <w:tab w:val="left" w:pos="9474" w:leader="none"/>
          <w:tab w:val="left" w:pos="9723" w:leader="none"/>
        </w:tabs>
      </w:pPr>
      <w:r>
        <w:rPr>
          <w:color w:val="1a1618"/>
        </w:rPr>
        <w:t xml:space="preserve">LA PARTE PROMISSARIA ACQUIRENTE: «che la presente compravendita è stata conclusa con </w:t>
      </w:r>
      <w:r>
        <w:rPr>
          <w:color w:val="1a1618"/>
          <w:spacing w:val="-2" w:percent="98"/>
        </w:rPr>
        <w:t>l’intervento,</w:t>
      </w:r>
      <w:r>
        <w:rPr>
          <w:color w:val="1a1618"/>
        </w:rPr>
        <w:tab/>
      </w:r>
      <w:r>
        <w:rPr>
          <w:color w:val="1a1618"/>
          <w:spacing w:val="-4" w:percent="96"/>
        </w:rPr>
        <w:t>quale</w:t>
      </w:r>
      <w:r>
        <w:rPr>
          <w:color w:val="1a1618"/>
        </w:rPr>
        <w:tab/>
        <w:tab/>
      </w:r>
      <w:r>
        <w:rPr>
          <w:color w:val="1a1618"/>
          <w:spacing w:val="-2" w:percent="98"/>
        </w:rPr>
        <w:t>mediatore,</w:t>
      </w:r>
      <w:r>
        <w:rPr>
          <w:color w:val="1a1618"/>
        </w:rPr>
        <w:tab/>
        <w:tab/>
        <w:tab/>
        <w:tab/>
      </w:r>
      <w:r>
        <w:rPr>
          <w:color w:val="1a1618"/>
          <w:spacing w:val="-6" w:percent="94"/>
        </w:rPr>
        <w:t>ai</w:t>
      </w:r>
      <w:r>
        <w:rPr>
          <w:color w:val="1a1618"/>
        </w:rPr>
        <w:tab/>
        <w:tab/>
      </w:r>
      <w:r>
        <w:rPr>
          <w:color w:val="1a1618"/>
          <w:spacing w:val="-2" w:percent="98"/>
        </w:rPr>
        <w:t>sensi</w:t>
      </w:r>
      <w:r>
        <w:rPr>
          <w:color w:val="1a1618"/>
        </w:rPr>
        <w:tab/>
      </w:r>
      <w:r>
        <w:rPr>
          <w:color w:val="1a1618"/>
          <w:spacing w:val="-2" w:percent="98"/>
        </w:rPr>
        <w:t>degli</w:t>
      </w:r>
      <w:r>
        <w:rPr>
          <w:color w:val="1a1618"/>
        </w:rPr>
        <w:tab/>
        <w:tab/>
      </w:r>
      <w:r>
        <w:rPr>
          <w:color w:val="1a1618"/>
          <w:spacing w:val="-2" w:percent="98"/>
        </w:rPr>
        <w:t>artt.</w:t>
      </w:r>
      <w:r>
        <w:rPr>
          <w:color w:val="1a1618"/>
        </w:rPr>
        <w:tab/>
        <w:tab/>
        <w:tab/>
        <w:tab/>
      </w:r>
      <w:r>
        <w:rPr>
          <w:color w:val="1a1618"/>
          <w:spacing w:val="-4" w:percent="96"/>
        </w:rPr>
        <w:t>1754</w:t>
      </w:r>
      <w:r>
        <w:rPr>
          <w:color w:val="1a1618"/>
        </w:rPr>
        <w:tab/>
      </w:r>
      <w:r>
        <w:rPr>
          <w:color w:val="1a1618"/>
          <w:spacing w:val="-4" w:percent="96"/>
        </w:rPr>
        <w:t>ss.</w:t>
      </w:r>
      <w:r>
        <w:rPr>
          <w:color w:val="1a1618"/>
        </w:rPr>
        <w:tab/>
      </w:r>
      <w:r>
        <w:rPr>
          <w:color w:val="1a1618"/>
          <w:spacing w:val="-4" w:percent="96"/>
        </w:rPr>
        <w:t xml:space="preserve">c.c. </w:t>
      </w:r>
      <w:r>
        <w:rPr>
          <w:color w:val="1a1618"/>
          <w:spacing w:val="-2" w:percent="98"/>
        </w:rPr>
        <w:t>dell’Agenzia</w:t>
      </w:r>
      <w:r>
        <w:rPr>
          <w:color w:val="1a1618"/>
          <w:u w:color="191517" w:val="single"/>
        </w:rPr>
        <w:tab/>
        <w:tab/>
        <w:tab/>
        <w:tab/>
        <w:tab/>
        <w:tab/>
        <w:tab/>
      </w:r>
      <w:r>
        <w:rPr>
          <w:color w:val="1a1618"/>
        </w:rPr>
        <w:t>, con sede in</w:t>
      </w:r>
      <w:r>
        <w:rPr>
          <w:color w:val="1a1618"/>
          <w:u w:color="191517" w:val="single"/>
        </w:rPr>
        <w:tab/>
        <w:tab/>
        <w:tab/>
        <w:tab/>
        <w:tab/>
      </w:r>
      <w:r>
        <w:rPr>
          <w:color w:val="1a1618"/>
        </w:rPr>
        <w:t>, partita IVA</w:t>
      </w:r>
      <w:r>
        <w:rPr>
          <w:color w:val="1a1618"/>
          <w:u w:color="191517" w:val="single"/>
        </w:rPr>
        <w:tab/>
        <w:tab/>
        <w:tab/>
        <w:tab/>
      </w:r>
      <w:r>
        <w:rPr>
          <w:color w:val="1a1618"/>
          <w:spacing w:val="-51" w:percent="50"/>
          <w:u w:color="191517" w:val="single"/>
        </w:rPr>
        <w:t xml:space="preserve"> </w:t>
      </w:r>
      <w:r>
        <w:rPr>
          <w:color w:val="1a1618"/>
          <w:spacing w:val="-8" w:percent="92"/>
        </w:rPr>
        <w:t xml:space="preserve">, </w:t>
      </w:r>
      <w:r>
        <w:rPr>
          <w:color w:val="1a1618"/>
        </w:rPr>
        <w:t xml:space="preserve">legale rappresentante signor </w:t>
      </w:r>
      <w:r>
        <w:rPr>
          <w:color w:val="1a1618"/>
          <w:u w:color="191517" w:val="single"/>
        </w:rPr>
        <w:tab/>
        <w:tab/>
        <w:tab/>
        <w:tab/>
        <w:tab/>
        <w:tab/>
        <w:tab/>
      </w:r>
      <w:r>
        <w:rPr>
          <w:color w:val="1a1618"/>
        </w:rPr>
        <w:t xml:space="preserve">, nato a </w:t>
      </w:r>
      <w:r>
        <w:rPr>
          <w:color w:val="1a1618"/>
          <w:u w:color="191517" w:val="single"/>
        </w:rPr>
        <w:tab/>
        <w:tab/>
        <w:tab/>
        <w:tab/>
        <w:tab/>
        <w:tab/>
        <w:tab/>
      </w:r>
      <w:r>
        <w:rPr>
          <w:color w:val="1a1618"/>
        </w:rPr>
        <w:t>il giorno</w:t>
      </w:r>
      <w:r>
        <w:rPr>
          <w:color w:val="1a1618"/>
          <w:u w:color="191517" w:val="single"/>
        </w:rPr>
        <w:tab/>
        <w:tab/>
        <w:tab/>
        <w:tab/>
      </w:r>
      <w:r>
        <w:rPr>
          <w:color w:val="1a1618"/>
          <w:spacing w:val="-10" w:percent="90"/>
        </w:rPr>
        <w:t xml:space="preserve">, </w:t>
      </w:r>
      <w:r>
        <w:rPr>
          <w:color w:val="1a1618"/>
        </w:rPr>
        <w:t>codice</w:t>
      </w:r>
      <w:r>
        <w:rPr>
          <w:color w:val="1a1618"/>
          <w:spacing w:val="40" w:percent="140"/>
        </w:rPr>
        <w:t xml:space="preserve"> </w:t>
      </w:r>
      <w:r>
        <w:rPr>
          <w:color w:val="1a1618"/>
        </w:rPr>
        <w:t>fiscale</w:t>
      </w:r>
      <w:r>
        <w:rPr>
          <w:color w:val="1a1618"/>
          <w:spacing w:val="72" w:percent="171"/>
        </w:rPr>
        <w:t xml:space="preserve"> </w:t>
      </w:r>
      <w:r>
        <w:rPr>
          <w:color w:val="1a1618"/>
          <w:u w:color="191517" w:val="single"/>
        </w:rPr>
        <w:tab/>
        <w:tab/>
        <w:tab/>
        <w:tab/>
        <w:tab/>
      </w:r>
      <w:r>
        <w:rPr>
          <w:color w:val="1a1618"/>
        </w:rPr>
        <w:t xml:space="preserve"> ,</w:t>
      </w:r>
      <w:r>
        <w:rPr>
          <w:color w:val="1a1618"/>
          <w:spacing w:val="40" w:percent="140"/>
        </w:rPr>
        <w:t xml:space="preserve"> </w:t>
      </w:r>
      <w:r>
        <w:rPr>
          <w:color w:val="1a1618"/>
        </w:rPr>
        <w:t>iscritto/a</w:t>
      </w:r>
      <w:r>
        <w:rPr>
          <w:color w:val="1a1618"/>
          <w:spacing w:val="40" w:percent="140"/>
        </w:rPr>
        <w:t xml:space="preserve"> </w:t>
      </w:r>
      <w:r>
        <w:rPr>
          <w:color w:val="1a1618"/>
        </w:rPr>
        <w:t>al</w:t>
      </w:r>
      <w:r>
        <w:rPr>
          <w:color w:val="1a1618"/>
          <w:spacing w:val="40" w:percent="140"/>
        </w:rPr>
        <w:t xml:space="preserve"> </w:t>
      </w:r>
      <w:r>
        <w:rPr>
          <w:color w:val="1a1618"/>
        </w:rPr>
        <w:t>n.</w:t>
      </w:r>
      <w:r>
        <w:rPr>
          <w:color w:val="1a1618"/>
          <w:spacing w:val="72" w:percent="171"/>
        </w:rPr>
        <w:t xml:space="preserve"> </w:t>
      </w:r>
      <w:r>
        <w:rPr>
          <w:color w:val="1a1618"/>
          <w:u w:color="191517" w:val="single"/>
        </w:rPr>
        <w:tab/>
        <w:tab/>
        <w:tab/>
        <w:tab/>
      </w:r>
      <w:r>
        <w:rPr>
          <w:color w:val="1a1618"/>
        </w:rPr>
        <w:t xml:space="preserve"> nella</w:t>
      </w:r>
      <w:r>
        <w:rPr>
          <w:color w:val="1a1618"/>
          <w:spacing w:val="40" w:percent="140"/>
        </w:rPr>
        <w:t xml:space="preserve"> </w:t>
      </w:r>
      <w:r>
        <w:rPr>
          <w:color w:val="1a1618"/>
        </w:rPr>
        <w:t>Sezione</w:t>
      </w:r>
      <w:r>
        <w:rPr>
          <w:color w:val="1a1618"/>
          <w:spacing w:val="40" w:percent="140"/>
        </w:rPr>
        <w:t xml:space="preserve"> </w:t>
      </w:r>
      <w:r>
        <w:rPr>
          <w:color w:val="1a1618"/>
        </w:rPr>
        <w:t>degli</w:t>
      </w:r>
      <w:r>
        <w:rPr>
          <w:color w:val="1a1618"/>
          <w:spacing w:val="40" w:percent="140"/>
        </w:rPr>
        <w:t xml:space="preserve"> </w:t>
      </w:r>
      <w:r>
        <w:rPr>
          <w:color w:val="1a1618"/>
        </w:rPr>
        <w:t>Agenti immobiliari</w:t>
      </w:r>
      <w:r>
        <w:rPr>
          <w:color w:val="1a1618"/>
          <w:spacing w:val="40" w:percent="140"/>
        </w:rPr>
        <w:t xml:space="preserve"> </w:t>
      </w:r>
      <w:r>
        <w:rPr>
          <w:color w:val="1a1618"/>
        </w:rPr>
        <w:t>presso</w:t>
      </w:r>
      <w:r>
        <w:rPr>
          <w:color w:val="1a1618"/>
          <w:spacing w:val="40" w:percent="140"/>
        </w:rPr>
        <w:t xml:space="preserve"> </w:t>
      </w:r>
      <w:r>
        <w:rPr>
          <w:color w:val="1a1618"/>
        </w:rPr>
        <w:t>il</w:t>
      </w:r>
      <w:r>
        <w:rPr>
          <w:color w:val="1a1618"/>
          <w:spacing w:val="40" w:percent="140"/>
        </w:rPr>
        <w:t xml:space="preserve"> </w:t>
      </w:r>
      <w:r>
        <w:rPr>
          <w:color w:val="1a1618"/>
        </w:rPr>
        <w:t>Ruolo</w:t>
      </w:r>
      <w:r>
        <w:rPr>
          <w:color w:val="1a1618"/>
          <w:spacing w:val="40" w:percent="140"/>
        </w:rPr>
        <w:t xml:space="preserve"> </w:t>
      </w:r>
      <w:r>
        <w:rPr>
          <w:color w:val="1a1618"/>
        </w:rPr>
        <w:t>mediatori</w:t>
      </w:r>
      <w:r>
        <w:rPr>
          <w:color w:val="1a1618"/>
          <w:spacing w:val="40" w:percent="140"/>
        </w:rPr>
        <w:t xml:space="preserve"> </w:t>
      </w:r>
      <w:r>
        <w:rPr>
          <w:color w:val="1a1618"/>
        </w:rPr>
        <w:t>della</w:t>
      </w:r>
      <w:r>
        <w:rPr>
          <w:color w:val="1a1618"/>
          <w:spacing w:val="40" w:percent="140"/>
        </w:rPr>
        <w:t xml:space="preserve"> </w:t>
      </w:r>
      <w:r>
        <w:rPr>
          <w:color w:val="1a1618"/>
        </w:rPr>
        <w:t>Camera</w:t>
      </w:r>
      <w:r>
        <w:rPr>
          <w:color w:val="1a1618"/>
          <w:spacing w:val="40" w:percent="140"/>
        </w:rPr>
        <w:t xml:space="preserve"> </w:t>
      </w:r>
      <w:r>
        <w:rPr>
          <w:color w:val="1a1618"/>
        </w:rPr>
        <w:t>di</w:t>
      </w:r>
      <w:r>
        <w:rPr>
          <w:color w:val="1a1618"/>
          <w:spacing w:val="40" w:percent="140"/>
        </w:rPr>
        <w:t xml:space="preserve"> </w:t>
      </w:r>
      <w:r>
        <w:rPr>
          <w:color w:val="1a1618"/>
        </w:rPr>
        <w:t>Commercio</w:t>
      </w:r>
      <w:r>
        <w:rPr>
          <w:color w:val="1a1618"/>
          <w:spacing w:val="40" w:percent="140"/>
        </w:rPr>
        <w:t xml:space="preserve"> </w:t>
      </w:r>
      <w:r>
        <w:rPr>
          <w:color w:val="1a1618"/>
        </w:rPr>
        <w:t>di</w:t>
      </w:r>
      <w:r>
        <w:rPr>
          <w:color w:val="1a1618"/>
          <w:u w:color="191517" w:val="single"/>
        </w:rPr>
        <w:tab/>
        <w:tab/>
        <w:tab/>
        <w:tab/>
        <w:tab/>
        <w:tab/>
        <w:tab/>
        <w:tab/>
        <w:tab/>
      </w:r>
      <w:r>
        <w:rPr>
          <w:color w:val="1a1618"/>
          <w:spacing w:val="-14" w:percent="86"/>
        </w:rPr>
        <w:t xml:space="preserve"> </w:t>
      </w:r>
      <w:r>
        <w:rPr>
          <w:color w:val="1a1618"/>
        </w:rPr>
        <w:t>ovvero,</w:t>
      </w:r>
      <w:r>
        <w:rPr>
          <w:color w:val="1a1618"/>
          <w:spacing w:val="16" w:percent="116"/>
        </w:rPr>
        <w:t xml:space="preserve"> </w:t>
      </w:r>
      <w:r>
        <w:rPr>
          <w:color w:val="1a1618"/>
        </w:rPr>
        <w:t xml:space="preserve">ai sensi del d.lgs. 59/2010 e della legge 122/2010, al n. </w:t>
      </w:r>
      <w:r>
        <w:rPr>
          <w:color w:val="1a1618"/>
          <w:u w:color="191517" w:val="single"/>
        </w:rPr>
        <w:tab/>
        <w:tab/>
        <w:tab/>
        <w:tab/>
        <w:tab/>
        <w:tab/>
        <w:tab/>
      </w:r>
      <w:r>
        <w:rPr>
          <w:color w:val="1a1618"/>
          <w:spacing w:val="-24" w:percent="76"/>
        </w:rPr>
        <w:t xml:space="preserve"> </w:t>
      </w:r>
      <w:r>
        <w:rPr>
          <w:color w:val="1a1618"/>
        </w:rPr>
        <w:t>del</w:t>
      </w:r>
      <w:r>
        <w:rPr>
          <w:color w:val="1a1618"/>
          <w:spacing w:val="5" w:percent="105"/>
        </w:rPr>
        <w:t xml:space="preserve"> </w:t>
      </w:r>
      <w:r>
        <w:rPr>
          <w:color w:val="1a1618"/>
        </w:rPr>
        <w:t>Registro</w:t>
      </w:r>
      <w:r>
        <w:rPr>
          <w:color w:val="1a1618"/>
          <w:spacing w:val="12" w:percent="112"/>
        </w:rPr>
        <w:t xml:space="preserve"> </w:t>
      </w:r>
      <w:r>
        <w:rPr>
          <w:color w:val="1a1618"/>
        </w:rPr>
        <w:t>Imprese/REA della Camera di Commercio di</w:t>
      </w:r>
      <w:r>
        <w:rPr>
          <w:color w:val="1a1618"/>
          <w:u w:color="191517" w:val="single"/>
        </w:rPr>
        <w:tab/>
        <w:tab/>
        <w:tab/>
        <w:tab/>
        <w:tab/>
        <w:tab/>
        <w:tab/>
        <w:tab/>
      </w:r>
      <w:r>
        <w:rPr>
          <w:color w:val="1a1618"/>
        </w:rPr>
        <w:t>, dal</w:t>
      </w:r>
      <w:r>
        <w:rPr>
          <w:color w:val="1a1618"/>
          <w:u w:color="191517" w:val="single"/>
        </w:rPr>
        <w:tab/>
        <w:tab/>
        <w:tab/>
        <w:tab/>
        <w:tab/>
        <w:tab/>
        <w:tab/>
        <w:tab/>
      </w:r>
      <w:r>
        <w:rPr>
          <w:color w:val="1a1618"/>
        </w:rPr>
        <w:t>, la quale ha percepito da parte di essa promissaria</w:t>
      </w:r>
      <w:r>
        <w:rPr>
          <w:color w:val="1a1618"/>
          <w:spacing w:val="-2" w:percent="98"/>
        </w:rPr>
        <w:t xml:space="preserve"> </w:t>
      </w:r>
      <w:r>
        <w:rPr>
          <w:color w:val="1a1618"/>
        </w:rPr>
        <w:t xml:space="preserve">acquirente a titolo di provvigione e di rimborso spese la complessiva somma di euro </w:t>
      </w:r>
      <w:r>
        <w:rPr>
          <w:color w:val="1a1618"/>
          <w:u w:color="191517" w:val="single"/>
        </w:rPr>
        <w:tab/>
        <w:tab/>
      </w:r>
      <w:r>
        <w:rPr>
          <w:color w:val="1a1618"/>
        </w:rPr>
        <w:t>, IVA compresa, a mezzo di assegno bancario non trasferibile n.</w:t>
      </w:r>
      <w:r>
        <w:rPr>
          <w:color w:val="1a1618"/>
          <w:u w:color="191517" w:val="single"/>
        </w:rPr>
        <w:tab/>
        <w:tab/>
        <w:tab/>
        <w:tab/>
      </w:r>
      <w:r>
        <w:rPr>
          <w:color w:val="1a1618"/>
          <w:spacing w:val="-10" w:percent="90"/>
        </w:rPr>
        <w:t xml:space="preserve">, </w:t>
      </w:r>
      <w:r>
        <w:rPr>
          <w:color w:val="1a1618"/>
        </w:rPr>
        <w:t xml:space="preserve">emesso dalla banca </w:t>
      </w:r>
      <w:r>
        <w:rPr>
          <w:color w:val="1a1618"/>
          <w:u w:color="191517" w:val="single"/>
        </w:rPr>
        <w:tab/>
        <w:tab/>
        <w:tab/>
      </w:r>
      <w:r>
        <w:rPr>
          <w:color w:val="1a1618"/>
        </w:rPr>
        <w:t>, in data</w:t>
      </w:r>
      <w:r>
        <w:rPr>
          <w:color w:val="1a1618"/>
          <w:u w:color="191517" w:val="single"/>
        </w:rPr>
        <w:tab/>
        <w:tab/>
        <w:tab/>
        <w:tab/>
        <w:tab/>
      </w:r>
      <w:r>
        <w:rPr>
          <w:color w:val="1a1618"/>
          <w:spacing w:val="-1" w:percent="99"/>
        </w:rPr>
        <w:t xml:space="preserve"> </w:t>
      </w:r>
      <w:r>
        <w:rPr>
          <w:color w:val="1a1618"/>
        </w:rPr>
        <w:t>, tratto sul c/c n.</w:t>
      </w:r>
      <w:r>
        <w:rPr>
          <w:color w:val="1a1618"/>
          <w:u w:color="191517" w:val="single"/>
        </w:rPr>
        <w:tab/>
        <w:tab/>
        <w:tab/>
        <w:tab/>
      </w:r>
      <w:r>
        <w:rPr>
          <w:color w:val="1a1618"/>
          <w:spacing w:val="-51" w:percent="50"/>
          <w:u w:color="191517" w:val="single"/>
        </w:rPr>
        <w:t xml:space="preserve"> </w:t>
      </w:r>
      <w:r>
        <w:rPr>
          <w:color w:val="1a1618"/>
          <w:spacing w:val="-8" w:percent="92"/>
        </w:rPr>
        <w:t xml:space="preserve">, </w:t>
      </w:r>
      <w:r>
        <w:rPr>
          <w:color w:val="1a1618"/>
        </w:rPr>
        <w:t>intestato a</w:t>
      </w:r>
      <w:r>
        <w:rPr>
          <w:color w:val="1a1618"/>
          <w:u w:color="191517" w:val="single"/>
        </w:rPr>
        <w:tab/>
        <w:tab/>
        <w:tab/>
        <w:tab/>
        <w:tab/>
        <w:tab/>
      </w:r>
      <w:r>
        <w:rPr>
          <w:color w:val="1a1618"/>
        </w:rPr>
        <w:t>»; &lt; inserire estremi assegno&gt;”;</w:t>
      </w:r>
      <w:r/>
    </w:p>
    <w:p>
      <w:pPr>
        <w:pStyle w:val="para5"/>
        <w:numPr>
          <w:ilvl w:val="1"/>
          <w:numId w:val="6"/>
        </w:numPr>
        <w:ind w:left="415" w:hanging="275"/>
        <w:spacing w:before="1" w:line="252" w:lineRule="exact"/>
        <w:tabs defTabSz="720">
          <w:tab w:val="left" w:pos="415" w:leader="none"/>
        </w:tabs>
      </w:pPr>
      <w:r>
        <w:rPr>
          <w:color w:val="1a1618"/>
        </w:rPr>
        <w:t>LA</w:t>
      </w:r>
      <w:r>
        <w:rPr>
          <w:color w:val="1a1618"/>
          <w:spacing w:val="-6" w:percent="94"/>
        </w:rPr>
        <w:t xml:space="preserve"> </w:t>
      </w:r>
      <w:r>
        <w:rPr>
          <w:color w:val="1a1618"/>
        </w:rPr>
        <w:t>PARTE</w:t>
      </w:r>
      <w:r>
        <w:rPr>
          <w:color w:val="1a1618"/>
          <w:spacing w:val="-6" w:percent="94"/>
        </w:rPr>
        <w:t xml:space="preserve"> </w:t>
      </w:r>
      <w:r>
        <w:rPr>
          <w:color w:val="1a1618"/>
        </w:rPr>
        <w:t>PROMITTENTE</w:t>
      </w:r>
      <w:r>
        <w:rPr>
          <w:color w:val="1a1618"/>
          <w:spacing w:val="-7" w:percent="93"/>
        </w:rPr>
        <w:t xml:space="preserve"> </w:t>
      </w:r>
      <w:r>
        <w:rPr>
          <w:color w:val="1a1618"/>
        </w:rPr>
        <w:t>VENDITRICE</w:t>
      </w:r>
      <w:r>
        <w:rPr>
          <w:color w:val="1a1618"/>
          <w:spacing w:val="-6" w:percent="94"/>
        </w:rPr>
        <w:t xml:space="preserve"> </w:t>
      </w:r>
      <w:r>
        <w:rPr>
          <w:color w:val="1a1618"/>
        </w:rPr>
        <w:t>E</w:t>
      </w:r>
      <w:r>
        <w:rPr>
          <w:color w:val="1a1618"/>
          <w:spacing w:val="-5" w:percent="95"/>
        </w:rPr>
        <w:t xml:space="preserve"> </w:t>
      </w:r>
      <w:r>
        <w:rPr>
          <w:color w:val="1a1618"/>
        </w:rPr>
        <w:t>LA</w:t>
      </w:r>
      <w:r>
        <w:rPr>
          <w:color w:val="1a1618"/>
          <w:spacing w:val="-6" w:percent="94"/>
        </w:rPr>
        <w:t xml:space="preserve"> </w:t>
      </w:r>
      <w:r>
        <w:rPr>
          <w:color w:val="1a1618"/>
        </w:rPr>
        <w:t>PARTE</w:t>
      </w:r>
      <w:r>
        <w:rPr>
          <w:color w:val="1a1618"/>
          <w:spacing w:val="-5" w:percent="95"/>
        </w:rPr>
        <w:t xml:space="preserve"> </w:t>
      </w:r>
      <w:r>
        <w:rPr>
          <w:color w:val="1a1618"/>
        </w:rPr>
        <w:t>PROMISSARIA</w:t>
      </w:r>
      <w:r>
        <w:rPr>
          <w:color w:val="1a1618"/>
          <w:spacing w:val="-4" w:percent="96"/>
        </w:rPr>
        <w:t xml:space="preserve"> </w:t>
      </w:r>
      <w:r>
        <w:rPr>
          <w:color w:val="1a1618"/>
        </w:rPr>
        <w:t>ACQUIRENTE:</w:t>
      </w:r>
      <w:r>
        <w:rPr>
          <w:color w:val="1a1618"/>
          <w:spacing w:val="-4" w:percent="96"/>
        </w:rPr>
        <w:t xml:space="preserve"> </w:t>
      </w:r>
      <w:r>
        <w:rPr>
          <w:color w:val="1a1618"/>
        </w:rPr>
        <w:t>«che</w:t>
      </w:r>
      <w:r>
        <w:rPr>
          <w:color w:val="1a1618"/>
          <w:spacing w:val="-4" w:percent="96"/>
        </w:rPr>
        <w:t xml:space="preserve"> </w:t>
      </w:r>
      <w:r>
        <w:rPr>
          <w:color w:val="1a1618"/>
          <w:spacing w:val="-5" w:percent="95"/>
        </w:rPr>
        <w:t>la</w:t>
      </w:r>
      <w:r/>
    </w:p>
    <w:p>
      <w:pPr>
        <w:pStyle w:val="para1"/>
        <w:ind w:left="500"/>
        <w:spacing w:line="252" w:lineRule="exact"/>
      </w:pPr>
      <w:r>
        <w:rPr>
          <w:color w:val="1a1618"/>
        </w:rPr>
        <w:t>caparra</w:t>
      </w:r>
      <w:r>
        <w:rPr>
          <w:color w:val="1a1618"/>
          <w:spacing w:val="-5" w:percent="95"/>
        </w:rPr>
        <w:t xml:space="preserve"> </w:t>
      </w:r>
      <w:r>
        <w:rPr>
          <w:color w:val="1a1618"/>
        </w:rPr>
        <w:t>confirmatoria</w:t>
      </w:r>
      <w:r>
        <w:rPr>
          <w:color w:val="1a1618"/>
          <w:spacing w:val="-3" w:percent="97"/>
        </w:rPr>
        <w:t xml:space="preserve"> </w:t>
      </w:r>
      <w:r>
        <w:rPr>
          <w:color w:val="1a1618"/>
        </w:rPr>
        <w:t>di</w:t>
      </w:r>
      <w:r>
        <w:rPr>
          <w:color w:val="1a1618"/>
          <w:spacing w:val="-4" w:percent="96"/>
        </w:rPr>
        <w:t xml:space="preserve"> </w:t>
      </w:r>
      <w:r>
        <w:rPr>
          <w:color w:val="1a1618"/>
        </w:rPr>
        <w:t>cui</w:t>
      </w:r>
      <w:r>
        <w:rPr>
          <w:color w:val="1a1618"/>
          <w:spacing w:val="-5" w:percent="95"/>
        </w:rPr>
        <w:t xml:space="preserve"> </w:t>
      </w:r>
      <w:r>
        <w:rPr>
          <w:color w:val="1a1618"/>
        </w:rPr>
        <w:t>sopra</w:t>
      </w:r>
      <w:r>
        <w:rPr>
          <w:color w:val="1a1618"/>
          <w:spacing w:val="-2" w:percent="98"/>
        </w:rPr>
        <w:t xml:space="preserve"> </w:t>
      </w:r>
      <w:r>
        <w:rPr>
          <w:color w:val="1a1618"/>
        </w:rPr>
        <w:t>detto</w:t>
      </w:r>
      <w:r>
        <w:rPr>
          <w:color w:val="1a1618"/>
          <w:spacing w:val="-6" w:percent="94"/>
        </w:rPr>
        <w:t xml:space="preserve"> </w:t>
      </w:r>
      <w:r>
        <w:rPr>
          <w:color w:val="1a1618"/>
        </w:rPr>
        <w:t>è</w:t>
      </w:r>
      <w:r>
        <w:rPr>
          <w:color w:val="1a1618"/>
          <w:spacing w:val="-2" w:percent="98"/>
        </w:rPr>
        <w:t xml:space="preserve"> </w:t>
      </w:r>
      <w:r>
        <w:rPr>
          <w:color w:val="1a1618"/>
        </w:rPr>
        <w:t>stata</w:t>
      </w:r>
      <w:r>
        <w:rPr>
          <w:color w:val="1a1618"/>
          <w:spacing w:val="-3" w:percent="97"/>
        </w:rPr>
        <w:t xml:space="preserve"> </w:t>
      </w:r>
      <w:r>
        <w:rPr>
          <w:color w:val="1a1618"/>
        </w:rPr>
        <w:t>regolata</w:t>
      </w:r>
      <w:r>
        <w:rPr>
          <w:color w:val="1a1618"/>
          <w:spacing w:val="-4" w:percent="96"/>
        </w:rPr>
        <w:t xml:space="preserve"> </w:t>
      </w:r>
      <w:r>
        <w:rPr>
          <w:color w:val="1a1618"/>
        </w:rPr>
        <w:t>a</w:t>
      </w:r>
      <w:r>
        <w:rPr>
          <w:color w:val="1a1618"/>
          <w:spacing w:val="-3" w:percent="97"/>
        </w:rPr>
        <w:t xml:space="preserve"> </w:t>
      </w:r>
      <w:r>
        <w:rPr>
          <w:color w:val="1a1618"/>
        </w:rPr>
        <w:t>mezzo</w:t>
      </w:r>
      <w:r>
        <w:rPr>
          <w:color w:val="1a1618"/>
          <w:spacing w:val="-2" w:percent="98"/>
        </w:rPr>
        <w:t xml:space="preserve"> </w:t>
      </w:r>
      <w:r>
        <w:rPr>
          <w:color w:val="1a1618"/>
          <w:spacing w:val="-5" w:percent="95"/>
        </w:rPr>
        <w:t>di:</w:t>
      </w:r>
      <w:r/>
    </w:p>
    <w:p>
      <w:pPr>
        <w:pStyle w:val="para1"/>
        <w:ind w:left="500" w:right="132"/>
        <w:tabs defTabSz="720">
          <w:tab w:val="left" w:pos="2079" w:leader="none"/>
          <w:tab w:val="left" w:pos="4695" w:leader="none"/>
          <w:tab w:val="left" w:pos="5607" w:leader="none"/>
          <w:tab w:val="left" w:pos="5838" w:leader="none"/>
          <w:tab w:val="left" w:pos="9390" w:leader="none"/>
          <w:tab w:val="left" w:pos="9726" w:leader="none"/>
        </w:tabs>
      </w:pPr>
      <w:r>
        <w:rPr>
          <w:color w:val="1a1618"/>
        </w:rPr>
        <w:t>assegno</w:t>
      </w:r>
      <w:r>
        <w:rPr>
          <w:color w:val="1a1618"/>
          <w:spacing w:val="80" w:percent="179"/>
        </w:rPr>
        <w:t xml:space="preserve"> </w:t>
      </w:r>
      <w:r>
        <w:rPr>
          <w:color w:val="1a1618"/>
        </w:rPr>
        <w:t>circolare</w:t>
      </w:r>
      <w:r>
        <w:rPr>
          <w:color w:val="1a1618"/>
          <w:spacing w:val="80" w:percent="179"/>
        </w:rPr>
        <w:t xml:space="preserve"> </w:t>
      </w:r>
      <w:r>
        <w:rPr>
          <w:color w:val="1a1618"/>
        </w:rPr>
        <w:t>non</w:t>
      </w:r>
      <w:r>
        <w:rPr>
          <w:color w:val="1a1618"/>
          <w:spacing w:val="80" w:percent="179"/>
        </w:rPr>
        <w:t xml:space="preserve"> </w:t>
      </w:r>
      <w:r>
        <w:rPr>
          <w:color w:val="1a1618"/>
        </w:rPr>
        <w:t>trasferibile</w:t>
      </w:r>
      <w:r>
        <w:rPr>
          <w:color w:val="1a1618"/>
          <w:spacing w:val="80" w:percent="179"/>
        </w:rPr>
        <w:t xml:space="preserve"> </w:t>
      </w:r>
      <w:r>
        <w:rPr>
          <w:color w:val="1a1618"/>
        </w:rPr>
        <w:t>n.</w:t>
      </w:r>
      <w:r>
        <w:rPr>
          <w:color w:val="1a1618"/>
          <w:u w:color="191517" w:val="single"/>
        </w:rPr>
        <w:tab/>
        <w:tab/>
      </w:r>
      <w:r>
        <w:rPr>
          <w:color w:val="1a1618"/>
        </w:rPr>
        <w:t>,</w:t>
      </w:r>
      <w:r>
        <w:rPr>
          <w:color w:val="1a1618"/>
          <w:spacing w:val="80" w:percent="179"/>
        </w:rPr>
        <w:t xml:space="preserve"> </w:t>
      </w:r>
      <w:r>
        <w:rPr>
          <w:color w:val="1a1618"/>
        </w:rPr>
        <w:t>emesso</w:t>
      </w:r>
      <w:r>
        <w:rPr>
          <w:color w:val="1a1618"/>
          <w:spacing w:val="80" w:percent="179"/>
        </w:rPr>
        <w:t xml:space="preserve"> </w:t>
      </w:r>
      <w:r>
        <w:rPr>
          <w:color w:val="1a1618"/>
        </w:rPr>
        <w:t>dalla</w:t>
      </w:r>
      <w:r>
        <w:rPr>
          <w:color w:val="1a1618"/>
          <w:spacing w:val="80" w:percent="179"/>
        </w:rPr>
        <w:t xml:space="preserve"> </w:t>
      </w:r>
      <w:r>
        <w:rPr>
          <w:color w:val="1a1618"/>
        </w:rPr>
        <w:t>banca</w:t>
      </w:r>
      <w:r>
        <w:rPr>
          <w:color w:val="1a1618"/>
          <w:u w:color="191517" w:val="single"/>
        </w:rPr>
        <w:tab/>
      </w:r>
      <w:r>
        <w:rPr>
          <w:color w:val="1a1618"/>
        </w:rPr>
        <w:t xml:space="preserve">, in </w:t>
      </w:r>
      <w:r>
        <w:rPr>
          <w:color w:val="1a1618"/>
          <w:spacing w:val="-4" w:percent="96"/>
        </w:rPr>
        <w:t>data</w:t>
      </w:r>
      <w:r>
        <w:rPr>
          <w:color w:val="1a1618"/>
          <w:u w:color="191517" w:val="single"/>
        </w:rPr>
        <w:tab/>
      </w:r>
      <w:r>
        <w:rPr>
          <w:color w:val="1a1618"/>
        </w:rPr>
        <w:t>,</w:t>
      </w:r>
      <w:r>
        <w:rPr>
          <w:color w:val="1a1618"/>
          <w:spacing w:val="80" w:percent="179"/>
        </w:rPr>
        <w:t xml:space="preserve"> </w:t>
      </w:r>
      <w:r>
        <w:rPr>
          <w:color w:val="1a1618"/>
        </w:rPr>
        <w:t>per</w:t>
      </w:r>
      <w:r>
        <w:rPr>
          <w:color w:val="1a1618"/>
          <w:spacing w:val="80" w:percent="179"/>
        </w:rPr>
        <w:t xml:space="preserve"> </w:t>
      </w:r>
      <w:r>
        <w:rPr>
          <w:color w:val="1a1618"/>
        </w:rPr>
        <w:t>l’importo</w:t>
      </w:r>
      <w:r>
        <w:rPr>
          <w:color w:val="1a1618"/>
          <w:spacing w:val="80" w:percent="179"/>
        </w:rPr>
        <w:t xml:space="preserve"> </w:t>
      </w:r>
      <w:r>
        <w:rPr>
          <w:color w:val="1a1618"/>
        </w:rPr>
        <w:t>di</w:t>
      </w:r>
      <w:r>
        <w:rPr>
          <w:color w:val="1a1618"/>
          <w:spacing w:val="80" w:percent="179"/>
        </w:rPr>
        <w:t xml:space="preserve"> </w:t>
      </w:r>
      <w:r>
        <w:rPr>
          <w:color w:val="1a1618"/>
        </w:rPr>
        <w:t>euro</w:t>
      </w:r>
      <w:r>
        <w:rPr>
          <w:color w:val="1a1618"/>
          <w:u w:color="191517" w:val="single"/>
        </w:rPr>
        <w:tab/>
        <w:tab/>
        <w:tab/>
      </w:r>
      <w:r>
        <w:rPr>
          <w:color w:val="1a1618"/>
        </w:rPr>
        <w:t>,</w:t>
      </w:r>
      <w:r>
        <w:rPr>
          <w:color w:val="1a1618"/>
          <w:spacing w:val="80" w:percent="179"/>
        </w:rPr>
        <w:t xml:space="preserve"> </w:t>
      </w:r>
      <w:r>
        <w:rPr>
          <w:color w:val="1a1618"/>
        </w:rPr>
        <w:t>tratto</w:t>
      </w:r>
      <w:r>
        <w:rPr>
          <w:color w:val="1a1618"/>
          <w:spacing w:val="80" w:percent="179"/>
        </w:rPr>
        <w:t xml:space="preserve"> </w:t>
      </w:r>
      <w:r>
        <w:rPr>
          <w:color w:val="1a1618"/>
        </w:rPr>
        <w:t>sul</w:t>
      </w:r>
      <w:r>
        <w:rPr>
          <w:color w:val="1a1618"/>
          <w:spacing w:val="80" w:percent="179"/>
        </w:rPr>
        <w:t xml:space="preserve"> </w:t>
      </w:r>
      <w:r>
        <w:rPr>
          <w:color w:val="1a1618"/>
        </w:rPr>
        <w:t>c/c</w:t>
      </w:r>
      <w:r>
        <w:rPr>
          <w:color w:val="1a1618"/>
          <w:spacing w:val="80" w:percent="179"/>
        </w:rPr>
        <w:t xml:space="preserve"> </w:t>
      </w:r>
      <w:r>
        <w:rPr>
          <w:color w:val="1a1618"/>
        </w:rPr>
        <w:t>n.</w:t>
      </w:r>
      <w:r>
        <w:rPr>
          <w:color w:val="1a1618"/>
          <w:u w:color="191517" w:val="single"/>
        </w:rPr>
        <w:tab/>
        <w:tab/>
      </w:r>
      <w:r>
        <w:rPr>
          <w:color w:val="1a1618"/>
          <w:spacing w:val="-10" w:percent="90"/>
        </w:rPr>
        <w:t xml:space="preserve">, </w:t>
      </w:r>
      <w:r>
        <w:rPr>
          <w:color w:val="1a1618"/>
        </w:rPr>
        <w:t xml:space="preserve">intestato a </w:t>
      </w:r>
      <w:r>
        <w:rPr>
          <w:color w:val="1a1618"/>
          <w:u w:color="191517" w:val="single"/>
        </w:rPr>
        <w:tab/>
        <w:tab/>
      </w:r>
      <w:r>
        <w:rPr>
          <w:color w:val="1a1618"/>
        </w:rPr>
        <w:t>»; &lt;inserire estremi assegno&gt;.</w:t>
      </w:r>
      <w:r/>
    </w:p>
    <w:p>
      <w:pPr>
        <w:pStyle w:val="para1"/>
        <w:ind w:left="0"/>
        <w:spacing w:before="3"/>
        <w:jc w:val="left"/>
      </w:pPr>
      <w:r/>
    </w:p>
    <w:p>
      <w:pPr>
        <w:pStyle w:val="para2"/>
        <w:numPr>
          <w:ilvl w:val="0"/>
          <w:numId w:val="6"/>
        </w:numPr>
        <w:ind w:left="379" w:hanging="239"/>
        <w:tabs defTabSz="720">
          <w:tab w:val="left" w:pos="379" w:leader="none"/>
        </w:tabs>
        <w:rPr>
          <w:color w:val="1a1618"/>
        </w:rPr>
      </w:pPr>
      <w:r>
        <w:rPr>
          <w:color w:val="1a1618"/>
        </w:rPr>
        <w:t>Clausola</w:t>
      </w:r>
      <w:r>
        <w:rPr>
          <w:color w:val="1a1618"/>
          <w:spacing w:val="-11" w:percent="91"/>
        </w:rPr>
        <w:t xml:space="preserve"> </w:t>
      </w:r>
      <w:r>
        <w:rPr>
          <w:color w:val="1a1618"/>
        </w:rPr>
        <w:t>risolutiva</w:t>
      </w:r>
      <w:r>
        <w:rPr>
          <w:color w:val="1a1618"/>
          <w:spacing w:val="-11" w:percent="91"/>
        </w:rPr>
        <w:t xml:space="preserve"> </w:t>
      </w:r>
      <w:r>
        <w:rPr>
          <w:color w:val="1a1618"/>
          <w:spacing w:val="-2" w:percent="98"/>
        </w:rPr>
        <w:t>espressa</w:t>
      </w:r>
      <w:r>
        <w:rPr>
          <w:color w:val="1a1618"/>
        </w:rPr>
      </w:r>
    </w:p>
    <w:p>
      <w:pPr>
        <w:pStyle w:val="para1"/>
        <w:ind w:right="131"/>
      </w:pPr>
      <w:r>
        <w:rPr>
          <w:color w:val="1a1618"/>
        </w:rPr>
        <w:t>Tutte le</w:t>
      </w:r>
      <w:r>
        <w:rPr>
          <w:color w:val="1a1618"/>
          <w:spacing w:val="-2" w:percent="98"/>
        </w:rPr>
        <w:t xml:space="preserve"> </w:t>
      </w:r>
      <w:r>
        <w:rPr>
          <w:color w:val="1a1618"/>
        </w:rPr>
        <w:t>clausole, gli elementi,</w:t>
      </w:r>
      <w:r>
        <w:rPr>
          <w:color w:val="1a1618"/>
          <w:spacing w:val="-3" w:percent="97"/>
        </w:rPr>
        <w:t xml:space="preserve"> </w:t>
      </w:r>
      <w:r>
        <w:rPr>
          <w:color w:val="1a1618"/>
        </w:rPr>
        <w:t>obblighi e oneri e</w:t>
      </w:r>
      <w:r>
        <w:rPr>
          <w:color w:val="1a1618"/>
          <w:spacing w:val="-1" w:percent="99"/>
        </w:rPr>
        <w:t xml:space="preserve"> </w:t>
      </w:r>
      <w:r>
        <w:rPr>
          <w:color w:val="1a1618"/>
        </w:rPr>
        <w:t>quant’altro</w:t>
      </w:r>
      <w:r>
        <w:rPr>
          <w:color w:val="1a1618"/>
          <w:spacing w:val="-3" w:percent="97"/>
        </w:rPr>
        <w:t xml:space="preserve"> </w:t>
      </w:r>
      <w:r>
        <w:rPr>
          <w:color w:val="1a1618"/>
        </w:rPr>
        <w:t>contenuti</w:t>
      </w:r>
      <w:r>
        <w:rPr>
          <w:color w:val="1a1618"/>
          <w:spacing w:val="-2" w:percent="98"/>
        </w:rPr>
        <w:t xml:space="preserve"> </w:t>
      </w:r>
      <w:r>
        <w:rPr>
          <w:color w:val="1a1618"/>
        </w:rPr>
        <w:t>nel presente atto si intendono</w:t>
      </w:r>
      <w:r>
        <w:rPr>
          <w:color w:val="1a1618"/>
          <w:spacing w:val="-3" w:percent="97"/>
        </w:rPr>
        <w:t xml:space="preserve"> </w:t>
      </w:r>
      <w:r>
        <w:rPr>
          <w:color w:val="1a1618"/>
        </w:rPr>
        <w:t xml:space="preserve">elementi essenziali a cui è subordinato l’acquisto e la mancanza o la non osservanza anche di uno solo di tali requisiti produrrà </w:t>
      </w:r>
      <w:r>
        <w:rPr>
          <w:i/>
          <w:color w:val="1a1618"/>
        </w:rPr>
        <w:t xml:space="preserve">ipso iure </w:t>
      </w:r>
      <w:r>
        <w:rPr>
          <w:color w:val="1a1618"/>
        </w:rPr>
        <w:t xml:space="preserve">la risoluzione del contratto </w:t>
      </w:r>
      <w:r>
        <w:rPr>
          <w:i/>
          <w:color w:val="1a1618"/>
        </w:rPr>
        <w:t xml:space="preserve">ex </w:t>
      </w:r>
      <w:r>
        <w:rPr>
          <w:color w:val="1a1618"/>
        </w:rPr>
        <w:t xml:space="preserve">art. 1456 e ss. c.c., dando luogo alle responsabilità </w:t>
      </w:r>
      <w:r>
        <w:rPr>
          <w:color w:val="1a1618"/>
          <w:spacing w:val="-2" w:percent="98"/>
        </w:rPr>
        <w:t>conseguenti.</w:t>
      </w:r>
      <w:r/>
    </w:p>
    <w:p>
      <w:pPr>
        <w:pStyle w:val="para1"/>
        <w:ind w:left="0"/>
        <w:spacing w:before="1"/>
        <w:jc w:val="left"/>
      </w:pPr>
      <w:r/>
    </w:p>
    <w:p>
      <w:pPr>
        <w:pStyle w:val="para2"/>
        <w:numPr>
          <w:ilvl w:val="0"/>
          <w:numId w:val="6"/>
        </w:numPr>
        <w:ind w:left="379" w:hanging="239"/>
        <w:tabs defTabSz="720">
          <w:tab w:val="left" w:pos="379" w:leader="none"/>
        </w:tabs>
        <w:rPr>
          <w:color w:val="1a1618"/>
        </w:rPr>
      </w:pPr>
      <w:r>
        <w:rPr>
          <w:color w:val="1a1618"/>
        </w:rPr>
        <w:t>Ripartizione</w:t>
      </w:r>
      <w:r>
        <w:rPr>
          <w:color w:val="1a1618"/>
          <w:spacing w:val="-11" w:percent="91"/>
        </w:rPr>
        <w:t xml:space="preserve"> </w:t>
      </w:r>
      <w:r>
        <w:rPr>
          <w:color w:val="1a1618"/>
        </w:rPr>
        <w:t>delle</w:t>
      </w:r>
      <w:r>
        <w:rPr>
          <w:color w:val="1a1618"/>
          <w:spacing w:val="-9" w:percent="92"/>
        </w:rPr>
        <w:t xml:space="preserve"> </w:t>
      </w:r>
      <w:r>
        <w:rPr>
          <w:color w:val="1a1618"/>
        </w:rPr>
        <w:t>spese</w:t>
      </w:r>
      <w:r>
        <w:rPr>
          <w:color w:val="1a1618"/>
          <w:spacing w:val="-11" w:percent="91"/>
        </w:rPr>
        <w:t xml:space="preserve"> </w:t>
      </w:r>
      <w:r>
        <w:rPr>
          <w:color w:val="1a1618"/>
        </w:rPr>
        <w:t>dell’atto</w:t>
      </w:r>
      <w:r>
        <w:rPr>
          <w:color w:val="1a1618"/>
          <w:spacing w:val="-9" w:percent="92"/>
        </w:rPr>
        <w:t xml:space="preserve"> </w:t>
      </w:r>
      <w:r>
        <w:rPr>
          <w:color w:val="1a1618"/>
        </w:rPr>
        <w:t>preliminare</w:t>
      </w:r>
      <w:r>
        <w:rPr>
          <w:color w:val="1a1618"/>
          <w:spacing w:val="-7" w:percent="94"/>
        </w:rPr>
        <w:t xml:space="preserve"> </w:t>
      </w:r>
      <w:r>
        <w:rPr>
          <w:color w:val="1a1618"/>
        </w:rPr>
        <w:t>di</w:t>
      </w:r>
      <w:r>
        <w:rPr>
          <w:color w:val="1a1618"/>
          <w:spacing w:val="-9" w:percent="92"/>
        </w:rPr>
        <w:t xml:space="preserve"> </w:t>
      </w:r>
      <w:r>
        <w:rPr>
          <w:color w:val="1a1618"/>
          <w:spacing w:val="-2" w:percent="98"/>
        </w:rPr>
        <w:t>compravendita</w:t>
      </w:r>
      <w:r>
        <w:rPr>
          <w:color w:val="1a1618"/>
        </w:rPr>
      </w:r>
    </w:p>
    <w:p>
      <w:pPr>
        <w:pStyle w:val="para1"/>
        <w:ind w:right="130"/>
        <w:tabs defTabSz="720">
          <w:tab w:val="left" w:pos="9685" w:leader="none"/>
        </w:tabs>
      </w:pPr>
      <w:r>
        <w:rPr>
          <w:color w:val="1a1618"/>
        </w:rPr>
        <w:t>In considerazione di quanto stabilito dalla normativa vigente in ordine alla solidarietà tributaria del</w:t>
      </w:r>
      <w:r>
        <w:rPr>
          <w:color w:val="1a1618"/>
          <w:spacing w:val="80" w:percent="179"/>
        </w:rPr>
        <w:t xml:space="preserve"> </w:t>
      </w:r>
      <w:r>
        <w:rPr>
          <w:color w:val="1a1618"/>
        </w:rPr>
        <w:t>mediatore</w:t>
      </w:r>
      <w:r>
        <w:rPr>
          <w:color w:val="1a1618"/>
          <w:spacing w:val="-4" w:percent="96"/>
        </w:rPr>
        <w:t xml:space="preserve"> </w:t>
      </w:r>
      <w:r>
        <w:rPr>
          <w:color w:val="1a1618"/>
        </w:rPr>
        <w:t>per</w:t>
      </w:r>
      <w:r>
        <w:rPr>
          <w:color w:val="1a1618"/>
          <w:spacing w:val="-4" w:percent="96"/>
        </w:rPr>
        <w:t xml:space="preserve"> </w:t>
      </w:r>
      <w:r>
        <w:rPr>
          <w:color w:val="1a1618"/>
        </w:rPr>
        <w:t>il</w:t>
      </w:r>
      <w:r>
        <w:rPr>
          <w:color w:val="1a1618"/>
          <w:spacing w:val="-1" w:percent="99"/>
        </w:rPr>
        <w:t xml:space="preserve"> </w:t>
      </w:r>
      <w:r>
        <w:rPr>
          <w:color w:val="1a1618"/>
        </w:rPr>
        <w:t>pagamento</w:t>
      </w:r>
      <w:r>
        <w:rPr>
          <w:color w:val="1a1618"/>
          <w:spacing w:val="-2" w:percent="98"/>
        </w:rPr>
        <w:t xml:space="preserve"> </w:t>
      </w:r>
      <w:r>
        <w:rPr>
          <w:color w:val="1a1618"/>
        </w:rPr>
        <w:t>delle</w:t>
      </w:r>
      <w:r>
        <w:rPr>
          <w:color w:val="1a1618"/>
          <w:spacing w:val="-2" w:percent="98"/>
        </w:rPr>
        <w:t xml:space="preserve"> </w:t>
      </w:r>
      <w:r>
        <w:rPr>
          <w:color w:val="1a1618"/>
        </w:rPr>
        <w:t>imposte</w:t>
      </w:r>
      <w:r>
        <w:rPr>
          <w:color w:val="1a1618"/>
          <w:spacing w:val="-4" w:percent="96"/>
        </w:rPr>
        <w:t xml:space="preserve"> </w:t>
      </w:r>
      <w:r>
        <w:rPr>
          <w:color w:val="1a1618"/>
        </w:rPr>
        <w:t>e</w:t>
      </w:r>
      <w:r>
        <w:rPr>
          <w:color w:val="1a1618"/>
          <w:spacing w:val="-2" w:percent="98"/>
        </w:rPr>
        <w:t xml:space="preserve"> </w:t>
      </w:r>
      <w:r>
        <w:rPr>
          <w:color w:val="1a1618"/>
        </w:rPr>
        <w:t>tasse</w:t>
      </w:r>
      <w:r>
        <w:rPr>
          <w:color w:val="1a1618"/>
          <w:spacing w:val="-4" w:percent="96"/>
        </w:rPr>
        <w:t xml:space="preserve"> </w:t>
      </w:r>
      <w:r>
        <w:rPr>
          <w:color w:val="1a1618"/>
        </w:rPr>
        <w:t>relative</w:t>
      </w:r>
      <w:r>
        <w:rPr>
          <w:color w:val="1a1618"/>
          <w:spacing w:val="-2" w:percent="98"/>
        </w:rPr>
        <w:t xml:space="preserve"> </w:t>
      </w:r>
      <w:r>
        <w:rPr>
          <w:color w:val="1a1618"/>
        </w:rPr>
        <w:t>alla</w:t>
      </w:r>
      <w:r>
        <w:rPr>
          <w:color w:val="1a1618"/>
          <w:spacing w:val="-4" w:percent="96"/>
        </w:rPr>
        <w:t xml:space="preserve"> </w:t>
      </w:r>
      <w:r>
        <w:rPr>
          <w:color w:val="1a1618"/>
        </w:rPr>
        <w:t>registrazione</w:t>
      </w:r>
      <w:r>
        <w:rPr>
          <w:color w:val="1a1618"/>
          <w:spacing w:val="-2" w:percent="98"/>
        </w:rPr>
        <w:t xml:space="preserve"> </w:t>
      </w:r>
      <w:r>
        <w:rPr>
          <w:color w:val="1a1618"/>
        </w:rPr>
        <w:t>del</w:t>
      </w:r>
      <w:r>
        <w:rPr>
          <w:color w:val="1a1618"/>
          <w:spacing w:val="-1" w:percent="99"/>
        </w:rPr>
        <w:t xml:space="preserve"> </w:t>
      </w:r>
      <w:r>
        <w:rPr>
          <w:color w:val="1a1618"/>
        </w:rPr>
        <w:t>presente</w:t>
      </w:r>
      <w:r>
        <w:rPr>
          <w:color w:val="1a1618"/>
          <w:spacing w:val="-2" w:percent="98"/>
        </w:rPr>
        <w:t xml:space="preserve"> </w:t>
      </w:r>
      <w:r>
        <w:rPr>
          <w:color w:val="1a1618"/>
        </w:rPr>
        <w:t>contratto</w:t>
      </w:r>
      <w:r>
        <w:rPr>
          <w:color w:val="1a1618"/>
          <w:spacing w:val="-2" w:percent="98"/>
        </w:rPr>
        <w:t xml:space="preserve"> </w:t>
      </w:r>
      <w:r>
        <w:rPr>
          <w:color w:val="1a1618"/>
        </w:rPr>
        <w:t xml:space="preserve">preliminare, le Parti conferiscono mandato all’Agenzia, e per essa al suo legale rappresentante, affinché ne curi la registrazione per loro conto, versando alla stessa le relative somme che si quantificano in euro </w:t>
      </w:r>
      <w:r>
        <w:rPr>
          <w:color w:val="1a1618"/>
          <w:u w:color="191517" w:val="single"/>
        </w:rPr>
        <w:tab/>
      </w:r>
      <w:r>
        <w:rPr>
          <w:color w:val="1a1618"/>
          <w:spacing w:val="-10" w:percent="90"/>
        </w:rPr>
        <w:t xml:space="preserve">. </w:t>
      </w:r>
      <w:r>
        <w:rPr>
          <w:color w:val="1a1618"/>
        </w:rPr>
        <w:t>Le spese del presente contratto inerenti e</w:t>
      </w:r>
      <w:r>
        <w:rPr>
          <w:color w:val="1a1618"/>
          <w:spacing w:val="-2" w:percent="98"/>
        </w:rPr>
        <w:t xml:space="preserve"> </w:t>
      </w:r>
      <w:r>
        <w:rPr>
          <w:color w:val="1a1618"/>
        </w:rPr>
        <w:t>conseguenti</w:t>
      </w:r>
      <w:r>
        <w:rPr>
          <w:color w:val="1a1618"/>
          <w:spacing w:val="-1" w:percent="99"/>
        </w:rPr>
        <w:t xml:space="preserve"> </w:t>
      </w:r>
      <w:r>
        <w:rPr>
          <w:color w:val="1a1618"/>
        </w:rPr>
        <w:t>sono a</w:t>
      </w:r>
      <w:r>
        <w:rPr>
          <w:color w:val="1a1618"/>
          <w:spacing w:val="-2" w:percent="98"/>
        </w:rPr>
        <w:t xml:space="preserve"> </w:t>
      </w:r>
      <w:r>
        <w:rPr>
          <w:color w:val="1a1618"/>
        </w:rPr>
        <w:t>carico</w:t>
      </w:r>
      <w:r>
        <w:rPr>
          <w:color w:val="1a1618"/>
          <w:spacing w:val="-2" w:percent="98"/>
        </w:rPr>
        <w:t xml:space="preserve"> </w:t>
      </w:r>
      <w:r>
        <w:rPr>
          <w:color w:val="1a1618"/>
        </w:rPr>
        <w:t>della</w:t>
      </w:r>
      <w:r>
        <w:rPr>
          <w:color w:val="1a1618"/>
          <w:spacing w:val="-2" w:percent="98"/>
        </w:rPr>
        <w:t xml:space="preserve"> </w:t>
      </w:r>
      <w:r>
        <w:rPr>
          <w:color w:val="1a1618"/>
        </w:rPr>
        <w:t>Parte Promissaria Acquirente, salvo solo quanto per legge diversamente stabilito.</w:t>
      </w:r>
      <w:r/>
    </w:p>
    <w:p>
      <w:pPr>
        <w:sectPr>
          <w:footnotePr>
            <w:pos w:val="pageBottom"/>
            <w:numFmt w:val="decimal"/>
            <w:numStart w:val="1"/>
            <w:numRestart w:val="continuous"/>
          </w:footnotePr>
          <w:endnotePr>
            <w:pos w:val="docEnd"/>
            <w:numFmt w:val="lowerRoman"/>
            <w:numStart w:val="1"/>
            <w:numRestart w:val="continuous"/>
          </w:endnotePr>
          <w:type w:val="nextPage"/>
          <w:pgSz w:h="16840" w:w="11900"/>
          <w:pgMar w:left="992" w:top="1340" w:right="992" w:bottom="280" w:header="0" w:footer="0"/>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2"/>
        <w:numPr>
          <w:ilvl w:val="0"/>
          <w:numId w:val="6"/>
        </w:numPr>
        <w:ind w:left="499" w:hanging="359"/>
        <w:spacing w:before="67"/>
        <w:tabs defTabSz="720">
          <w:tab w:val="left" w:pos="499" w:leader="none"/>
        </w:tabs>
        <w:rPr>
          <w:color w:val="1a1618"/>
        </w:rPr>
      </w:pPr>
      <w:r>
        <w:rPr>
          <w:color w:val="1a1618"/>
        </w:rPr>
        <w:t>Clausola</w:t>
      </w:r>
      <w:r>
        <w:rPr>
          <w:color w:val="1a1618"/>
          <w:spacing w:val="-8" w:percent="93"/>
        </w:rPr>
        <w:t xml:space="preserve"> </w:t>
      </w:r>
      <w:r>
        <w:rPr>
          <w:color w:val="1a1618"/>
        </w:rPr>
        <w:t>di</w:t>
      </w:r>
      <w:r>
        <w:rPr>
          <w:color w:val="1a1618"/>
          <w:spacing w:val="-8" w:percent="93"/>
        </w:rPr>
        <w:t xml:space="preserve"> </w:t>
      </w:r>
      <w:r>
        <w:rPr>
          <w:color w:val="1a1618"/>
        </w:rPr>
        <w:t>risoluzione</w:t>
      </w:r>
      <w:r>
        <w:rPr>
          <w:color w:val="1a1618"/>
          <w:spacing w:val="-9" w:percent="92"/>
        </w:rPr>
        <w:t xml:space="preserve"> </w:t>
      </w:r>
      <w:r>
        <w:rPr>
          <w:color w:val="1a1618"/>
        </w:rPr>
        <w:t>delle</w:t>
      </w:r>
      <w:r>
        <w:rPr>
          <w:color w:val="1a1618"/>
          <w:spacing w:val="-8" w:percent="93"/>
        </w:rPr>
        <w:t xml:space="preserve"> </w:t>
      </w:r>
      <w:r>
        <w:rPr>
          <w:color w:val="1a1618"/>
          <w:spacing w:val="-2" w:percent="98"/>
        </w:rPr>
        <w:t>controversie</w:t>
      </w:r>
      <w:r>
        <w:rPr>
          <w:color w:val="1a1618"/>
        </w:rPr>
      </w:r>
    </w:p>
    <w:p>
      <w:pPr>
        <w:pStyle w:val="para1"/>
        <w:ind w:right="132" w:hanging="1"/>
        <w:tabs defTabSz="720">
          <w:tab w:val="left" w:pos="7733" w:leader="none"/>
        </w:tabs>
      </w:pPr>
      <w:r>
        <w:rPr>
          <w:color w:val="1a1618"/>
        </w:rPr>
        <w:t>Tutte le controversie nascenti dal presente contratto saranno devolute a un tentativo di conciliazione presso l’Organismo</w:t>
      </w:r>
      <w:r>
        <w:rPr>
          <w:color w:val="1a1618"/>
          <w:spacing w:val="80" w:percent="179"/>
        </w:rPr>
        <w:t xml:space="preserve"> </w:t>
      </w:r>
      <w:r>
        <w:rPr>
          <w:color w:val="1a1618"/>
        </w:rPr>
        <w:t>di</w:t>
      </w:r>
      <w:r>
        <w:rPr>
          <w:color w:val="1a1618"/>
          <w:spacing w:val="80" w:percent="179"/>
        </w:rPr>
        <w:t xml:space="preserve"> </w:t>
      </w:r>
      <w:r>
        <w:rPr>
          <w:color w:val="1a1618"/>
        </w:rPr>
        <w:t>mediazione</w:t>
      </w:r>
      <w:r>
        <w:rPr>
          <w:color w:val="1a1618"/>
          <w:spacing w:val="80" w:percent="179"/>
        </w:rPr>
        <w:t xml:space="preserve"> </w:t>
      </w:r>
      <w:r>
        <w:rPr>
          <w:color w:val="1a1618"/>
        </w:rPr>
        <w:t>delle</w:t>
      </w:r>
      <w:r>
        <w:rPr>
          <w:color w:val="1a1618"/>
          <w:spacing w:val="80" w:percent="179"/>
        </w:rPr>
        <w:t xml:space="preserve"> </w:t>
      </w:r>
      <w:r>
        <w:rPr>
          <w:color w:val="1a1618"/>
        </w:rPr>
        <w:t>Camere</w:t>
      </w:r>
      <w:r>
        <w:rPr>
          <w:color w:val="1a1618"/>
          <w:spacing w:val="80" w:percent="179"/>
        </w:rPr>
        <w:t xml:space="preserve"> </w:t>
      </w:r>
      <w:r>
        <w:rPr>
          <w:color w:val="1a1618"/>
        </w:rPr>
        <w:t>di</w:t>
      </w:r>
      <w:r>
        <w:rPr>
          <w:color w:val="1a1618"/>
          <w:spacing w:val="80" w:percent="179"/>
        </w:rPr>
        <w:t xml:space="preserve"> </w:t>
      </w:r>
      <w:r>
        <w:rPr>
          <w:color w:val="1a1618"/>
        </w:rPr>
        <w:t>Commercio</w:t>
      </w:r>
      <w:r>
        <w:rPr>
          <w:color w:val="1a1618"/>
          <w:spacing w:val="80" w:percent="179"/>
        </w:rPr>
        <w:t xml:space="preserve"> </w:t>
      </w:r>
      <w:r>
        <w:rPr>
          <w:color w:val="1a1618"/>
        </w:rPr>
        <w:t>di</w:t>
      </w:r>
      <w:r>
        <w:rPr>
          <w:color w:val="1a1618"/>
          <w:spacing w:val="97" w:percent="196"/>
        </w:rPr>
        <w:t xml:space="preserve"> </w:t>
      </w:r>
      <w:r>
        <w:rPr>
          <w:color w:val="1a1618"/>
          <w:u w:color="191517" w:val="single"/>
        </w:rPr>
        <w:tab/>
      </w:r>
      <w:r>
        <w:rPr>
          <w:color w:val="1a1618"/>
        </w:rPr>
        <w:t xml:space="preserve"> e risolte secondo il Regolamento da questa adottato.</w:t>
      </w:r>
      <w:r/>
    </w:p>
    <w:p>
      <w:pPr>
        <w:pStyle w:val="para1"/>
        <w:ind w:left="0"/>
        <w:spacing w:before="1"/>
        <w:jc w:val="left"/>
      </w:pPr>
      <w:r/>
    </w:p>
    <w:p>
      <w:pPr>
        <w:pStyle w:val="para3"/>
        <w:numPr>
          <w:ilvl w:val="0"/>
          <w:numId w:val="6"/>
        </w:numPr>
        <w:ind w:left="470" w:hanging="330"/>
        <w:spacing w:before="1"/>
        <w:tabs defTabSz="720">
          <w:tab w:val="left" w:pos="470" w:leader="none"/>
        </w:tabs>
        <w:rPr>
          <w:color w:val="1a1618"/>
        </w:rPr>
      </w:pPr>
      <w:r>
        <w:rPr>
          <w:color w:val="1a1618"/>
        </w:rPr>
        <w:t>Riservatezza</w:t>
      </w:r>
      <w:r>
        <w:rPr>
          <w:color w:val="1a1618"/>
          <w:spacing w:val="-5" w:percent="95"/>
        </w:rPr>
        <w:t xml:space="preserve"> </w:t>
      </w:r>
      <w:r>
        <w:rPr>
          <w:color w:val="1a1618"/>
        </w:rPr>
        <w:t>dei</w:t>
      </w:r>
      <w:r>
        <w:rPr>
          <w:color w:val="1a1618"/>
          <w:spacing w:val="-3" w:percent="97"/>
        </w:rPr>
        <w:t xml:space="preserve"> </w:t>
      </w:r>
      <w:r>
        <w:rPr>
          <w:color w:val="1a1618"/>
        </w:rPr>
        <w:t>dati</w:t>
      </w:r>
      <w:r>
        <w:rPr>
          <w:color w:val="1a1618"/>
          <w:spacing w:val="-6" w:percent="94"/>
        </w:rPr>
        <w:t xml:space="preserve"> </w:t>
      </w:r>
      <w:r>
        <w:rPr>
          <w:color w:val="1a1618"/>
          <w:spacing w:val="-2" w:percent="98"/>
        </w:rPr>
        <w:t>personali</w:t>
      </w:r>
      <w:r>
        <w:rPr>
          <w:color w:val="1a1618"/>
        </w:rPr>
      </w:r>
    </w:p>
    <w:p>
      <w:pPr>
        <w:pStyle w:val="para1"/>
        <w:ind w:right="135"/>
        <w:spacing w:before="248"/>
      </w:pPr>
      <w:r>
        <w:rPr>
          <w:color w:val="1a1618"/>
        </w:rPr>
        <w:t>Le Parti si autorizzano reciprocamente a comunicare a terzi i propri dati personali in relazione ad adempimenti connessi con il rapporto in oggetto.</w:t>
      </w:r>
      <w:r/>
    </w:p>
    <w:p>
      <w:pPr>
        <w:pStyle w:val="para1"/>
        <w:ind w:left="0"/>
        <w:spacing/>
        <w:jc w:val="left"/>
      </w:pPr>
      <w:r/>
    </w:p>
    <w:p>
      <w:pPr>
        <w:pStyle w:val="para1"/>
        <w:ind w:left="0"/>
        <w:spacing w:before="1"/>
        <w:jc w:val="left"/>
      </w:pPr>
      <w:r/>
    </w:p>
    <w:p>
      <w:pPr>
        <w:pStyle w:val="para1"/>
        <w:tabs defTabSz="720">
          <w:tab w:val="left" w:pos="5079" w:leader="none"/>
        </w:tabs>
      </w:pPr>
      <w:r>
        <w:rPr>
          <w:color w:val="1a1618"/>
        </w:rPr>
        <w:t>Luogo</w:t>
      </w:r>
      <w:r>
        <w:rPr>
          <w:color w:val="1a1618"/>
          <w:spacing w:val="-4" w:percent="96"/>
        </w:rPr>
        <w:t xml:space="preserve"> </w:t>
      </w:r>
      <w:r>
        <w:rPr>
          <w:color w:val="1a1618"/>
        </w:rPr>
        <w:t>e</w:t>
      </w:r>
      <w:r>
        <w:rPr>
          <w:color w:val="1a1618"/>
          <w:spacing w:val="-2" w:percent="98"/>
        </w:rPr>
        <w:t xml:space="preserve"> </w:t>
      </w:r>
      <w:r>
        <w:rPr>
          <w:color w:val="1a1618"/>
          <w:spacing w:val="-4" w:percent="96"/>
        </w:rPr>
        <w:t>data</w:t>
      </w:r>
      <w:r>
        <w:rPr>
          <w:color w:val="1a1618"/>
          <w:u w:color="191517" w:val="single"/>
        </w:rPr>
        <w:tab/>
      </w:r>
      <w:r/>
    </w:p>
    <w:p>
      <w:pPr>
        <w:pStyle w:val="para1"/>
        <w:ind w:left="0"/>
        <w:spacing w:before="252"/>
        <w:jc w:val="left"/>
      </w:pPr>
      <w:r/>
    </w:p>
    <w:p>
      <w:pPr>
        <w:pStyle w:val="para1"/>
        <w:spacing w:before="1"/>
        <w:jc w:val="left"/>
      </w:pPr>
      <w:r>
        <w:rPr>
          <w:color w:val="1a1618"/>
        </w:rPr>
        <w:t>Letto,</w:t>
      </w:r>
      <w:r>
        <w:rPr>
          <w:color w:val="1a1618"/>
          <w:spacing w:val="-3" w:percent="97"/>
        </w:rPr>
        <w:t xml:space="preserve"> </w:t>
      </w:r>
      <w:r>
        <w:rPr>
          <w:color w:val="1a1618"/>
        </w:rPr>
        <w:t>firmato</w:t>
      </w:r>
      <w:r>
        <w:rPr>
          <w:color w:val="1a1618"/>
          <w:spacing w:val="-2" w:percent="98"/>
        </w:rPr>
        <w:t xml:space="preserve"> </w:t>
      </w:r>
      <w:r>
        <w:rPr>
          <w:color w:val="1a1618"/>
        </w:rPr>
        <w:t>e</w:t>
      </w:r>
      <w:r>
        <w:rPr>
          <w:color w:val="1a1618"/>
          <w:spacing w:val="-3" w:percent="97"/>
        </w:rPr>
        <w:t xml:space="preserve"> </w:t>
      </w:r>
      <w:r>
        <w:rPr>
          <w:color w:val="1a1618"/>
          <w:spacing w:val="-2" w:percent="98"/>
        </w:rPr>
        <w:t>sottoscritto</w:t>
      </w:r>
      <w:r/>
    </w:p>
    <w:p>
      <w:pPr>
        <w:pStyle w:val="para1"/>
        <w:ind w:left="0"/>
        <w:spacing/>
        <w:jc w:val="left"/>
      </w:pPr>
      <w:r/>
    </w:p>
    <w:p>
      <w:pPr>
        <w:pStyle w:val="para1"/>
        <w:spacing/>
        <w:jc w:val="left"/>
        <w:tabs defTabSz="720">
          <w:tab w:val="left" w:pos="5859" w:leader="none"/>
        </w:tabs>
      </w:pPr>
      <w:r>
        <w:rPr>
          <w:color w:val="1a1618"/>
        </w:rPr>
        <w:t>PARTE</w:t>
      </w:r>
      <w:r>
        <w:rPr>
          <w:color w:val="1a1618"/>
          <w:spacing w:val="-7" w:percent="93"/>
        </w:rPr>
        <w:t xml:space="preserve"> </w:t>
      </w:r>
      <w:r>
        <w:rPr>
          <w:color w:val="1a1618"/>
        </w:rPr>
        <w:t>PROMITTENTE</w:t>
      </w:r>
      <w:r>
        <w:rPr>
          <w:color w:val="1a1618"/>
          <w:spacing w:val="-8" w:percent="92"/>
        </w:rPr>
        <w:t xml:space="preserve"> </w:t>
      </w:r>
      <w:r>
        <w:rPr>
          <w:color w:val="1a1618"/>
          <w:spacing w:val="-2" w:percent="98"/>
        </w:rPr>
        <w:t>VENDITRICE</w:t>
      </w:r>
      <w:r>
        <w:rPr>
          <w:color w:val="1a1618"/>
        </w:rPr>
        <w:tab/>
        <w:t>PARTE</w:t>
      </w:r>
      <w:r>
        <w:rPr>
          <w:color w:val="1a1618"/>
          <w:spacing w:val="-10" w:percent="90"/>
        </w:rPr>
        <w:t xml:space="preserve"> </w:t>
      </w:r>
      <w:r>
        <w:rPr>
          <w:color w:val="1a1618"/>
        </w:rPr>
        <w:t>PROMISSARIA</w:t>
      </w:r>
      <w:r>
        <w:rPr>
          <w:color w:val="1a1618"/>
          <w:spacing w:val="-5" w:percent="95"/>
        </w:rPr>
        <w:t xml:space="preserve"> </w:t>
      </w:r>
      <w:r>
        <w:rPr>
          <w:color w:val="1a1618"/>
          <w:spacing w:val="-2" w:percent="98"/>
        </w:rPr>
        <w:t>ACQUIRENTE</w:t>
      </w:r>
      <w:r/>
    </w:p>
    <w:p>
      <w:pPr>
        <w:pStyle w:val="para1"/>
        <w:ind w:left="0"/>
        <w:spacing/>
        <w:jc w:val="left"/>
        <w:rPr>
          <w:sz w:val="20"/>
        </w:rPr>
      </w:pPr>
      <w:r>
        <w:rPr>
          <w:sz w:val="20"/>
        </w:rPr>
      </w:r>
    </w:p>
    <w:p>
      <w:pPr>
        <w:pStyle w:val="para1"/>
        <w:ind w:left="0"/>
        <w:spacing w:before="18"/>
        <w:jc w:val="left"/>
        <w:rPr>
          <w:sz w:val="20"/>
        </w:rPr>
      </w:pPr>
      <w:r>
        <w:rPr>
          <w:noProof/>
        </w:rPr>
        <mc:AlternateContent>
          <mc:Choice Requires="wps">
            <w:drawing>
              <wp:anchor distT="0" distB="0" distL="0" distR="0" simplePos="0" relativeHeight="251658242" behindDoc="1" locked="0" layoutInCell="0" hidden="0" allowOverlap="1">
                <wp:simplePos x="0" y="0"/>
                <wp:positionH relativeFrom="page">
                  <wp:posOffset>719455</wp:posOffset>
                </wp:positionH>
                <wp:positionV relativeFrom="paragraph">
                  <wp:posOffset>172720</wp:posOffset>
                </wp:positionV>
                <wp:extent cx="2795270" cy="1270"/>
                <wp:effectExtent l="5715" t="5715" r="5715" b="5715"/>
                <wp:wrapTopAndBottom/>
                <wp:docPr id="2" name="Graphic 2"/>
                <wp:cNvGraphicFramePr/>
                <a:graphic xmlns:a="http://schemas.openxmlformats.org/drawingml/2006/main">
                  <a:graphicData uri="http://schemas.microsoft.com/office/word/2010/wordprocessingShape">
                    <wps:wsp>
                      <wps:cNvSpPr>
                        <a:extLst>
                          <a:ext uri="sm">
                            <sm:smNativeData xmlns:sm="sm" val="SMDATA_14_Ua+FaRMAAAAlAAAACw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BkVFwAJ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HEAAAAAIQAAAAAAAAAAAAAAAAAAAAAAAG0EAAAAAAAAAgAAABABAAAyEQAAAgAAAAQABABtBAAAWRkAACgAAAAIAAAAAQAAAAEAAAA="/>
                          </a:ext>
                        </a:extLst>
                      </wps:cNvSpPr>
                      <wps:spPr>
                        <a:xfrm>
                          <a:off x="0" y="0"/>
                          <a:ext cx="2795270" cy="1270"/>
                        </a:xfrm>
                        <a:custGeom>
                          <a:avLst/>
                          <a:gdLst/>
                          <a:ahLst/>
                          <a:cxnLst/>
                          <a:rect l="0" t="0" r="2795270" b="1270"/>
                          <a:pathLst>
                            <a:path w="2795270" h="1270">
                              <a:moveTo>
                                <a:pt x="0" y="0"/>
                              </a:moveTo>
                              <a:lnTo>
                                <a:pt x="2794972" y="0"/>
                              </a:lnTo>
                            </a:path>
                          </a:pathLst>
                        </a:custGeom>
                        <a:noFill/>
                        <a:ln w="5715">
                          <a:solidFill>
                            <a:srgbClr val="191517"/>
                          </a:solidFill>
                        </a:ln>
                      </wps:spPr>
                      <wps:bodyPr spcFirstLastPara="1" vertOverflow="clip" horzOverflow="clip" lIns="0" tIns="0" rIns="0" bIns="0" upright="1">
                        <a:noAutofit/>
                      </wps:bodyPr>
                    </wps:wsp>
                  </a:graphicData>
                </a:graphic>
              </wp:anchor>
            </w:drawing>
          </mc:Choice>
          <mc:Fallback>
            <w:pict>
              <v:shape id="Graphic 2" o:spid="_x0000_s1027" style="position:absolute;margin-left:56.65pt;margin-top:13.60pt;mso-position-horizontal-relative:page;width:220.10pt;height:0.10pt;z-index:251658242;mso-wrap-distance-left:0.00pt;mso-wrap-distance-top:0.00pt;mso-wrap-distance-right:0.00pt;mso-wrap-distance-bottom:0.00pt;mso-wrap-style:square" coordsize="4402,2" path="m0,0l4402,0e" strokeweight="0.45pt" strokecolor="#191517" filled="f" v:ext="SMDATA_14_Ua+FaRMAAAAlAAAACw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BkVFwAJ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HEAAAAAIQAAAAAAAAAAAAAAAAAAAAAAAG0EAAAAAAAAAgAAABABAAAyEQAAAgAAAAQABABtBAAAWRkAACgAAAAIAAAAAQAAAAEAAAA=">
                <v:path arrowok="t"/>
                <w10:wrap type="topAndBottom" anchorx="page" anchory="text"/>
              </v:shape>
            </w:pict>
          </mc:Fallback>
        </mc:AlternateContent>
      </w:r>
      <w:r>
        <w:rPr>
          <w:noProof/>
        </w:rPr>
        <mc:AlternateContent>
          <mc:Choice Requires="wps">
            <w:drawing>
              <wp:anchor distT="0" distB="0" distL="0" distR="0" simplePos="0" relativeHeight="251658243" behindDoc="1" locked="0" layoutInCell="0" hidden="0" allowOverlap="1">
                <wp:simplePos x="0" y="0"/>
                <wp:positionH relativeFrom="page">
                  <wp:posOffset>4316095</wp:posOffset>
                </wp:positionH>
                <wp:positionV relativeFrom="paragraph">
                  <wp:posOffset>172720</wp:posOffset>
                </wp:positionV>
                <wp:extent cx="2516505" cy="1270"/>
                <wp:effectExtent l="5715" t="5715" r="5715" b="5715"/>
                <wp:wrapTopAndBottom/>
                <wp:docPr id="3" name="Graphic 3"/>
                <wp:cNvGraphicFramePr/>
                <a:graphic xmlns:a="http://schemas.openxmlformats.org/drawingml/2006/main">
                  <a:graphicData uri="http://schemas.microsoft.com/office/word/2010/wordprocessingShape">
                    <wps:wsp>
                      <wps:cNvSpPr>
                        <a:extLst>
                          <a:ext uri="sm">
                            <sm:smNativeData xmlns:sm="sm" val="SMDATA_14_Ua+FaRMAAAAlAAAACw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BkVFwAJ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HEAAAAAIQAAAAAAAAAAAAAAAAAAAAAAAI0aAAAAAAAAAgAAABABAAB7DwAAAgAAAAQABACNGgAAWRkAACgAAAAIAAAAAQAAAAEAAAA="/>
                          </a:ext>
                        </a:extLst>
                      </wps:cNvSpPr>
                      <wps:spPr>
                        <a:xfrm>
                          <a:off x="0" y="0"/>
                          <a:ext cx="2516505" cy="1270"/>
                        </a:xfrm>
                        <a:custGeom>
                          <a:avLst/>
                          <a:gdLst/>
                          <a:ahLst/>
                          <a:cxnLst/>
                          <a:rect l="0" t="0" r="2516505" b="1270"/>
                          <a:pathLst>
                            <a:path w="2516505" h="1270">
                              <a:moveTo>
                                <a:pt x="0" y="0"/>
                              </a:moveTo>
                              <a:lnTo>
                                <a:pt x="2516080" y="0"/>
                              </a:lnTo>
                            </a:path>
                          </a:pathLst>
                        </a:custGeom>
                        <a:noFill/>
                        <a:ln w="5715">
                          <a:solidFill>
                            <a:srgbClr val="191517"/>
                          </a:solidFill>
                        </a:ln>
                      </wps:spPr>
                      <wps:bodyPr spcFirstLastPara="1" vertOverflow="clip" horzOverflow="clip" lIns="0" tIns="0" rIns="0" bIns="0" upright="1">
                        <a:noAutofit/>
                      </wps:bodyPr>
                    </wps:wsp>
                  </a:graphicData>
                </a:graphic>
              </wp:anchor>
            </w:drawing>
          </mc:Choice>
          <mc:Fallback>
            <w:pict>
              <v:shape id="Graphic 3" o:spid="_x0000_s1028" style="position:absolute;margin-left:339.85pt;margin-top:13.60pt;mso-position-horizontal-relative:page;width:198.15pt;height:0.10pt;z-index:251658243;mso-wrap-distance-left:0.00pt;mso-wrap-distance-top:0.00pt;mso-wrap-distance-right:0.00pt;mso-wrap-distance-bottom:0.00pt;mso-wrap-style:square" coordsize="3963,2" path="m0,0l3962,0e" strokeweight="0.45pt" strokecolor="#191517" filled="f" v:ext="SMDATA_14_Ua+FaRMAAAAlAAAACw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BkVFwAJ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HEAAAAAIQAAAAAAAAAAAAAAAAAAAAAAAI0aAAAAAAAAAgAAABABAAB7DwAAAgAAAAQABACNGgAAWRkAACgAAAAIAAAAAQAAAAEAAAA=">
                <v:path arrowok="t"/>
                <w10:wrap type="topAndBottom" anchorx="page" anchory="text"/>
              </v:shape>
            </w:pict>
          </mc:Fallback>
        </mc:AlternateContent>
      </w:r>
      <w:r>
        <w:rPr>
          <w:sz w:val="20"/>
        </w:rPr>
      </w:r>
    </w:p>
    <w:sectPr>
      <w:footnotePr>
        <w:pos w:val="pageBottom"/>
        <w:numFmt w:val="decimal"/>
        <w:numStart w:val="1"/>
        <w:numRestart w:val="continuous"/>
      </w:footnotePr>
      <w:endnotePr>
        <w:pos w:val="docEnd"/>
        <w:numFmt w:val="lowerRoman"/>
        <w:numStart w:val="1"/>
        <w:numRestart w:val="continuous"/>
      </w:endnotePr>
      <w:type w:val="nextPage"/>
      <w:pgSz w:h="16840" w:w="11900"/>
      <w:pgMar w:left="992" w:top="1600" w:right="992" w:bottom="280"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Calibri">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Elenco numerato 1"/>
    <w:lvl w:ilvl="0">
      <w:numFmt w:val="bullet"/>
      <w:suff w:val="tab"/>
      <w:lvlText w:val="*"/>
      <w:lvlJc w:val="left"/>
      <w:pPr>
        <w:ind w:left="-151" w:hanging="0"/>
      </w:pPr>
      <w:rPr>
        <w:rFonts w:ascii="Times New Roman" w:hAnsi="Times New Roman" w:eastAsia="Times New Roman" w:cs="Times New Roman"/>
        <w:b w:val="0"/>
        <w:color w:val="1a1618"/>
        <w:spacing w:val="0" w:percent="100"/>
        <w:w w:val="100"/>
        <w:sz w:val="22"/>
        <w:szCs w:val="22"/>
        <w:lang w:val="it-it" w:eastAsia="en-us" w:bidi="ar-sa"/>
      </w:rPr>
    </w:lvl>
    <w:lvl w:ilvl="1">
      <w:numFmt w:val="bullet"/>
      <w:suff w:val="tab"/>
      <w:lvlText w:val="•"/>
      <w:lvlJc w:val="left"/>
      <w:pPr>
        <w:ind w:left="826" w:hanging="0"/>
      </w:pPr>
      <w:rPr>
        <w:lang w:val="it-it" w:eastAsia="en-us" w:bidi="ar-sa"/>
      </w:rPr>
    </w:lvl>
    <w:lvl w:ilvl="2">
      <w:numFmt w:val="bullet"/>
      <w:suff w:val="tab"/>
      <w:lvlText w:val="•"/>
      <w:lvlJc w:val="left"/>
      <w:pPr>
        <w:ind w:left="1804" w:hanging="0"/>
      </w:pPr>
      <w:rPr>
        <w:lang w:val="it-it" w:eastAsia="en-us" w:bidi="ar-sa"/>
      </w:rPr>
    </w:lvl>
    <w:lvl w:ilvl="3">
      <w:numFmt w:val="bullet"/>
      <w:suff w:val="tab"/>
      <w:lvlText w:val="•"/>
      <w:lvlJc w:val="left"/>
      <w:pPr>
        <w:ind w:left="2781" w:hanging="0"/>
      </w:pPr>
      <w:rPr>
        <w:lang w:val="it-it" w:eastAsia="en-us" w:bidi="ar-sa"/>
      </w:rPr>
    </w:lvl>
    <w:lvl w:ilvl="4">
      <w:numFmt w:val="bullet"/>
      <w:suff w:val="tab"/>
      <w:lvlText w:val="•"/>
      <w:lvlJc w:val="left"/>
      <w:pPr>
        <w:ind w:left="3759" w:hanging="0"/>
      </w:pPr>
      <w:rPr>
        <w:lang w:val="it-it" w:eastAsia="en-us" w:bidi="ar-sa"/>
      </w:rPr>
    </w:lvl>
    <w:lvl w:ilvl="5">
      <w:numFmt w:val="bullet"/>
      <w:suff w:val="tab"/>
      <w:lvlText w:val="•"/>
      <w:lvlJc w:val="left"/>
      <w:pPr>
        <w:ind w:left="4737" w:hanging="0"/>
      </w:pPr>
      <w:rPr>
        <w:lang w:val="it-it" w:eastAsia="en-us" w:bidi="ar-sa"/>
      </w:rPr>
    </w:lvl>
    <w:lvl w:ilvl="6">
      <w:numFmt w:val="bullet"/>
      <w:suff w:val="tab"/>
      <w:lvlText w:val="•"/>
      <w:lvlJc w:val="left"/>
      <w:pPr>
        <w:ind w:left="5714" w:hanging="0"/>
      </w:pPr>
      <w:rPr>
        <w:lang w:val="it-it" w:eastAsia="en-us" w:bidi="ar-sa"/>
      </w:rPr>
    </w:lvl>
    <w:lvl w:ilvl="7">
      <w:numFmt w:val="bullet"/>
      <w:suff w:val="tab"/>
      <w:lvlText w:val="•"/>
      <w:lvlJc w:val="left"/>
      <w:pPr>
        <w:ind w:left="6692" w:hanging="0"/>
      </w:pPr>
      <w:rPr>
        <w:lang w:val="it-it" w:eastAsia="en-us" w:bidi="ar-sa"/>
      </w:rPr>
    </w:lvl>
    <w:lvl w:ilvl="8">
      <w:numFmt w:val="bullet"/>
      <w:suff w:val="tab"/>
      <w:lvlText w:val="•"/>
      <w:lvlJc w:val="left"/>
      <w:pPr>
        <w:ind w:left="7669" w:hanging="0"/>
      </w:pPr>
      <w:rPr>
        <w:lang w:val="it-it" w:eastAsia="en-us" w:bidi="ar-sa"/>
      </w:rPr>
    </w:lvl>
  </w:abstractNum>
  <w:abstractNum w:abstractNumId="2">
    <w:multiLevelType w:val="hybridMultilevel"/>
    <w:name w:val="Elenco numerato 2"/>
    <w:lvl w:ilvl="0">
      <w:numFmt w:val="bullet"/>
      <w:suff w:val="tab"/>
      <w:lvlText w:val="-"/>
      <w:lvlJc w:val="left"/>
      <w:pPr>
        <w:ind w:left="140" w:hanging="0"/>
      </w:pPr>
      <w:rPr>
        <w:rFonts w:ascii="Times New Roman" w:hAnsi="Times New Roman" w:eastAsia="Times New Roman" w:cs="Times New Roman"/>
        <w:b w:val="0"/>
        <w:color w:val="1a1618"/>
        <w:spacing w:val="0" w:percent="100"/>
        <w:w w:val="100"/>
        <w:sz w:val="22"/>
        <w:szCs w:val="22"/>
        <w:lang w:val="it-it" w:eastAsia="en-us" w:bidi="ar-sa"/>
      </w:rPr>
    </w:lvl>
    <w:lvl w:ilvl="1">
      <w:numFmt w:val="bullet"/>
      <w:suff w:val="tab"/>
      <w:lvlText w:val="•"/>
      <w:lvlJc w:val="left"/>
      <w:pPr>
        <w:ind w:left="1100" w:hanging="0"/>
      </w:pPr>
      <w:rPr>
        <w:lang w:val="it-it" w:eastAsia="en-us" w:bidi="ar-sa"/>
      </w:rPr>
    </w:lvl>
    <w:lvl w:ilvl="2">
      <w:numFmt w:val="bullet"/>
      <w:suff w:val="tab"/>
      <w:lvlText w:val="•"/>
      <w:lvlJc w:val="left"/>
      <w:pPr>
        <w:ind w:left="2066" w:hanging="0"/>
      </w:pPr>
      <w:rPr>
        <w:lang w:val="it-it" w:eastAsia="en-us" w:bidi="ar-sa"/>
      </w:rPr>
    </w:lvl>
    <w:lvl w:ilvl="3">
      <w:numFmt w:val="bullet"/>
      <w:suff w:val="tab"/>
      <w:lvlText w:val="•"/>
      <w:lvlJc w:val="left"/>
      <w:pPr>
        <w:ind w:left="3031" w:hanging="0"/>
      </w:pPr>
      <w:rPr>
        <w:lang w:val="it-it" w:eastAsia="en-us" w:bidi="ar-sa"/>
      </w:rPr>
    </w:lvl>
    <w:lvl w:ilvl="4">
      <w:numFmt w:val="bullet"/>
      <w:suff w:val="tab"/>
      <w:lvlText w:val="•"/>
      <w:lvlJc w:val="left"/>
      <w:pPr>
        <w:ind w:left="3997" w:hanging="0"/>
      </w:pPr>
      <w:rPr>
        <w:lang w:val="it-it" w:eastAsia="en-us" w:bidi="ar-sa"/>
      </w:rPr>
    </w:lvl>
    <w:lvl w:ilvl="5">
      <w:numFmt w:val="bullet"/>
      <w:suff w:val="tab"/>
      <w:lvlText w:val="•"/>
      <w:lvlJc w:val="left"/>
      <w:pPr>
        <w:ind w:left="4963" w:hanging="0"/>
      </w:pPr>
      <w:rPr>
        <w:lang w:val="it-it" w:eastAsia="en-us" w:bidi="ar-sa"/>
      </w:rPr>
    </w:lvl>
    <w:lvl w:ilvl="6">
      <w:numFmt w:val="bullet"/>
      <w:suff w:val="tab"/>
      <w:lvlText w:val="•"/>
      <w:lvlJc w:val="left"/>
      <w:pPr>
        <w:ind w:left="5928" w:hanging="0"/>
      </w:pPr>
      <w:rPr>
        <w:lang w:val="it-it" w:eastAsia="en-us" w:bidi="ar-sa"/>
      </w:rPr>
    </w:lvl>
    <w:lvl w:ilvl="7">
      <w:numFmt w:val="bullet"/>
      <w:suff w:val="tab"/>
      <w:lvlText w:val="•"/>
      <w:lvlJc w:val="left"/>
      <w:pPr>
        <w:ind w:left="6894" w:hanging="0"/>
      </w:pPr>
      <w:rPr>
        <w:lang w:val="it-it" w:eastAsia="en-us" w:bidi="ar-sa"/>
      </w:rPr>
    </w:lvl>
    <w:lvl w:ilvl="8">
      <w:numFmt w:val="bullet"/>
      <w:suff w:val="tab"/>
      <w:lvlText w:val="•"/>
      <w:lvlJc w:val="left"/>
      <w:pPr>
        <w:ind w:left="7859" w:hanging="0"/>
      </w:pPr>
      <w:rPr>
        <w:lang w:val="it-it" w:eastAsia="en-us" w:bidi="ar-sa"/>
      </w:rPr>
    </w:lvl>
  </w:abstractNum>
  <w:abstractNum w:abstractNumId="3">
    <w:multiLevelType w:val="hybridMultilevel"/>
    <w:name w:val="Elenco numerato 3"/>
    <w:lvl w:ilvl="0">
      <w:start w:val="1"/>
      <w:numFmt w:val="upperRoman"/>
      <w:suff w:val="tab"/>
      <w:lvlText w:val="%1)"/>
      <w:lvlJc w:val="left"/>
      <w:pPr>
        <w:ind w:left="140" w:hanging="0"/>
      </w:pPr>
      <w:rPr>
        <w:rFonts w:ascii="Times New Roman" w:hAnsi="Times New Roman" w:eastAsia="Times New Roman" w:cs="Times New Roman"/>
        <w:b w:val="0"/>
        <w:color w:val="1a1618"/>
        <w:spacing w:val="-4" w:percent="96"/>
        <w:w w:val="100"/>
        <w:sz w:val="22"/>
        <w:szCs w:val="22"/>
        <w:lang w:val="it-it" w:eastAsia="en-us" w:bidi="ar-sa"/>
      </w:rPr>
    </w:lvl>
    <w:lvl w:ilvl="1">
      <w:numFmt w:val="bullet"/>
      <w:suff w:val="tab"/>
      <w:lvlText w:val="•"/>
      <w:lvlJc w:val="left"/>
      <w:pPr>
        <w:ind w:left="1095" w:hanging="0"/>
      </w:pPr>
      <w:rPr>
        <w:lang w:val="it-it" w:eastAsia="en-us" w:bidi="ar-sa"/>
      </w:rPr>
    </w:lvl>
    <w:lvl w:ilvl="2">
      <w:numFmt w:val="bullet"/>
      <w:suff w:val="tab"/>
      <w:lvlText w:val="•"/>
      <w:lvlJc w:val="left"/>
      <w:pPr>
        <w:ind w:left="2053" w:hanging="0"/>
      </w:pPr>
      <w:rPr>
        <w:lang w:val="it-it" w:eastAsia="en-us" w:bidi="ar-sa"/>
      </w:rPr>
    </w:lvl>
    <w:lvl w:ilvl="3">
      <w:numFmt w:val="bullet"/>
      <w:suff w:val="tab"/>
      <w:lvlText w:val="•"/>
      <w:lvlJc w:val="left"/>
      <w:pPr>
        <w:ind w:left="3010" w:hanging="0"/>
      </w:pPr>
      <w:rPr>
        <w:lang w:val="it-it" w:eastAsia="en-us" w:bidi="ar-sa"/>
      </w:rPr>
    </w:lvl>
    <w:lvl w:ilvl="4">
      <w:numFmt w:val="bullet"/>
      <w:suff w:val="tab"/>
      <w:lvlText w:val="•"/>
      <w:lvlJc w:val="left"/>
      <w:pPr>
        <w:ind w:left="3968" w:hanging="0"/>
      </w:pPr>
      <w:rPr>
        <w:lang w:val="it-it" w:eastAsia="en-us" w:bidi="ar-sa"/>
      </w:rPr>
    </w:lvl>
    <w:lvl w:ilvl="5">
      <w:numFmt w:val="bullet"/>
      <w:suff w:val="tab"/>
      <w:lvlText w:val="•"/>
      <w:lvlJc w:val="left"/>
      <w:pPr>
        <w:ind w:left="4926" w:hanging="0"/>
      </w:pPr>
      <w:rPr>
        <w:lang w:val="it-it" w:eastAsia="en-us" w:bidi="ar-sa"/>
      </w:rPr>
    </w:lvl>
    <w:lvl w:ilvl="6">
      <w:numFmt w:val="bullet"/>
      <w:suff w:val="tab"/>
      <w:lvlText w:val="•"/>
      <w:lvlJc w:val="left"/>
      <w:pPr>
        <w:ind w:left="5883" w:hanging="0"/>
      </w:pPr>
      <w:rPr>
        <w:lang w:val="it-it" w:eastAsia="en-us" w:bidi="ar-sa"/>
      </w:rPr>
    </w:lvl>
    <w:lvl w:ilvl="7">
      <w:numFmt w:val="bullet"/>
      <w:suff w:val="tab"/>
      <w:lvlText w:val="•"/>
      <w:lvlJc w:val="left"/>
      <w:pPr>
        <w:ind w:left="6841" w:hanging="0"/>
      </w:pPr>
      <w:rPr>
        <w:lang w:val="it-it" w:eastAsia="en-us" w:bidi="ar-sa"/>
      </w:rPr>
    </w:lvl>
    <w:lvl w:ilvl="8">
      <w:numFmt w:val="bullet"/>
      <w:suff w:val="tab"/>
      <w:lvlText w:val="•"/>
      <w:lvlJc w:val="left"/>
      <w:pPr>
        <w:ind w:left="7798" w:hanging="0"/>
      </w:pPr>
      <w:rPr>
        <w:lang w:val="it-it" w:eastAsia="en-us" w:bidi="ar-sa"/>
      </w:rPr>
    </w:lvl>
  </w:abstractNum>
  <w:abstractNum w:abstractNumId="4">
    <w:multiLevelType w:val="hybridMultilevel"/>
    <w:name w:val="Elenco numerato 4"/>
    <w:lvl w:ilvl="0">
      <w:numFmt w:val="bullet"/>
      <w:suff w:val="tab"/>
      <w:lvlText w:val="□"/>
      <w:lvlJc w:val="left"/>
      <w:pPr>
        <w:ind w:left="140" w:hanging="0"/>
      </w:pPr>
      <w:rPr>
        <w:rFonts w:ascii="Times New Roman" w:hAnsi="Times New Roman" w:eastAsia="Times New Roman" w:cs="Times New Roman"/>
        <w:b w:val="0"/>
        <w:color w:val="1a1618"/>
        <w:spacing w:val="0" w:percent="100"/>
        <w:w w:val="129"/>
        <w:sz w:val="22"/>
        <w:szCs w:val="22"/>
        <w:lang w:val="it-it" w:eastAsia="en-us" w:bidi="ar-sa"/>
      </w:rPr>
    </w:lvl>
    <w:lvl w:ilvl="1">
      <w:numFmt w:val="bullet"/>
      <w:suff w:val="tab"/>
      <w:lvlText w:val="•"/>
      <w:lvlJc w:val="left"/>
      <w:pPr>
        <w:ind w:left="1087" w:hanging="0"/>
      </w:pPr>
      <w:rPr>
        <w:lang w:val="it-it" w:eastAsia="en-us" w:bidi="ar-sa"/>
      </w:rPr>
    </w:lvl>
    <w:lvl w:ilvl="2">
      <w:numFmt w:val="bullet"/>
      <w:suff w:val="tab"/>
      <w:lvlText w:val="•"/>
      <w:lvlJc w:val="left"/>
      <w:pPr>
        <w:ind w:left="2043" w:hanging="0"/>
      </w:pPr>
      <w:rPr>
        <w:lang w:val="it-it" w:eastAsia="en-us" w:bidi="ar-sa"/>
      </w:rPr>
    </w:lvl>
    <w:lvl w:ilvl="3">
      <w:numFmt w:val="bullet"/>
      <w:suff w:val="tab"/>
      <w:lvlText w:val="•"/>
      <w:lvlJc w:val="left"/>
      <w:pPr>
        <w:ind w:left="2998" w:hanging="0"/>
      </w:pPr>
      <w:rPr>
        <w:lang w:val="it-it" w:eastAsia="en-us" w:bidi="ar-sa"/>
      </w:rPr>
    </w:lvl>
    <w:lvl w:ilvl="4">
      <w:numFmt w:val="bullet"/>
      <w:suff w:val="tab"/>
      <w:lvlText w:val="•"/>
      <w:lvlJc w:val="left"/>
      <w:pPr>
        <w:ind w:left="3954" w:hanging="0"/>
      </w:pPr>
      <w:rPr>
        <w:lang w:val="it-it" w:eastAsia="en-us" w:bidi="ar-sa"/>
      </w:rPr>
    </w:lvl>
    <w:lvl w:ilvl="5">
      <w:numFmt w:val="bullet"/>
      <w:suff w:val="tab"/>
      <w:lvlText w:val="•"/>
      <w:lvlJc w:val="left"/>
      <w:pPr>
        <w:ind w:left="4910" w:hanging="0"/>
      </w:pPr>
      <w:rPr>
        <w:lang w:val="it-it" w:eastAsia="en-us" w:bidi="ar-sa"/>
      </w:rPr>
    </w:lvl>
    <w:lvl w:ilvl="6">
      <w:numFmt w:val="bullet"/>
      <w:suff w:val="tab"/>
      <w:lvlText w:val="•"/>
      <w:lvlJc w:val="left"/>
      <w:pPr>
        <w:ind w:left="5865" w:hanging="0"/>
      </w:pPr>
      <w:rPr>
        <w:lang w:val="it-it" w:eastAsia="en-us" w:bidi="ar-sa"/>
      </w:rPr>
    </w:lvl>
    <w:lvl w:ilvl="7">
      <w:numFmt w:val="bullet"/>
      <w:suff w:val="tab"/>
      <w:lvlText w:val="•"/>
      <w:lvlJc w:val="left"/>
      <w:pPr>
        <w:ind w:left="6821" w:hanging="0"/>
      </w:pPr>
      <w:rPr>
        <w:lang w:val="it-it" w:eastAsia="en-us" w:bidi="ar-sa"/>
      </w:rPr>
    </w:lvl>
    <w:lvl w:ilvl="8">
      <w:numFmt w:val="bullet"/>
      <w:suff w:val="tab"/>
      <w:lvlText w:val="•"/>
      <w:lvlJc w:val="left"/>
      <w:pPr>
        <w:ind w:left="7776" w:hanging="0"/>
      </w:pPr>
      <w:rPr>
        <w:lang w:val="it-it" w:eastAsia="en-us" w:bidi="ar-sa"/>
      </w:rPr>
    </w:lvl>
  </w:abstractNum>
  <w:abstractNum w:abstractNumId="5">
    <w:multiLevelType w:val="hybridMultilevel"/>
    <w:name w:val="Elenco numerato 5"/>
    <w:lvl w:ilvl="0">
      <w:numFmt w:val="bullet"/>
      <w:suff w:val="tab"/>
      <w:lvlText w:val="-"/>
      <w:lvlJc w:val="left"/>
      <w:pPr>
        <w:ind w:left="-64" w:hanging="0"/>
      </w:pPr>
      <w:rPr>
        <w:rFonts w:ascii="Times New Roman" w:hAnsi="Times New Roman" w:eastAsia="Times New Roman" w:cs="Times New Roman"/>
        <w:b w:val="0"/>
        <w:color w:val="1a1618"/>
        <w:spacing w:val="0" w:percent="100"/>
        <w:w w:val="100"/>
        <w:sz w:val="22"/>
        <w:szCs w:val="22"/>
        <w:lang w:val="it-it" w:eastAsia="en-us" w:bidi="ar-sa"/>
      </w:rPr>
    </w:lvl>
    <w:lvl w:ilvl="1">
      <w:numFmt w:val="bullet"/>
      <w:suff w:val="tab"/>
      <w:lvlText w:val="•"/>
      <w:lvlJc w:val="left"/>
      <w:pPr>
        <w:ind w:left="913" w:hanging="0"/>
      </w:pPr>
      <w:rPr>
        <w:lang w:val="it-it" w:eastAsia="en-us" w:bidi="ar-sa"/>
      </w:rPr>
    </w:lvl>
    <w:lvl w:ilvl="2">
      <w:numFmt w:val="bullet"/>
      <w:suff w:val="tab"/>
      <w:lvlText w:val="•"/>
      <w:lvlJc w:val="left"/>
      <w:pPr>
        <w:ind w:left="1891" w:hanging="0"/>
      </w:pPr>
      <w:rPr>
        <w:lang w:val="it-it" w:eastAsia="en-us" w:bidi="ar-sa"/>
      </w:rPr>
    </w:lvl>
    <w:lvl w:ilvl="3">
      <w:numFmt w:val="bullet"/>
      <w:suff w:val="tab"/>
      <w:lvlText w:val="•"/>
      <w:lvlJc w:val="left"/>
      <w:pPr>
        <w:ind w:left="2868" w:hanging="0"/>
      </w:pPr>
      <w:rPr>
        <w:lang w:val="it-it" w:eastAsia="en-us" w:bidi="ar-sa"/>
      </w:rPr>
    </w:lvl>
    <w:lvl w:ilvl="4">
      <w:numFmt w:val="bullet"/>
      <w:suff w:val="tab"/>
      <w:lvlText w:val="•"/>
      <w:lvlJc w:val="left"/>
      <w:pPr>
        <w:ind w:left="3846" w:hanging="0"/>
      </w:pPr>
      <w:rPr>
        <w:lang w:val="it-it" w:eastAsia="en-us" w:bidi="ar-sa"/>
      </w:rPr>
    </w:lvl>
    <w:lvl w:ilvl="5">
      <w:numFmt w:val="bullet"/>
      <w:suff w:val="tab"/>
      <w:lvlText w:val="•"/>
      <w:lvlJc w:val="left"/>
      <w:pPr>
        <w:ind w:left="4824" w:hanging="0"/>
      </w:pPr>
      <w:rPr>
        <w:lang w:val="it-it" w:eastAsia="en-us" w:bidi="ar-sa"/>
      </w:rPr>
    </w:lvl>
    <w:lvl w:ilvl="6">
      <w:numFmt w:val="bullet"/>
      <w:suff w:val="tab"/>
      <w:lvlText w:val="•"/>
      <w:lvlJc w:val="left"/>
      <w:pPr>
        <w:ind w:left="5801" w:hanging="0"/>
      </w:pPr>
      <w:rPr>
        <w:lang w:val="it-it" w:eastAsia="en-us" w:bidi="ar-sa"/>
      </w:rPr>
    </w:lvl>
    <w:lvl w:ilvl="7">
      <w:numFmt w:val="bullet"/>
      <w:suff w:val="tab"/>
      <w:lvlText w:val="•"/>
      <w:lvlJc w:val="left"/>
      <w:pPr>
        <w:ind w:left="6779" w:hanging="0"/>
      </w:pPr>
      <w:rPr>
        <w:lang w:val="it-it" w:eastAsia="en-us" w:bidi="ar-sa"/>
      </w:rPr>
    </w:lvl>
    <w:lvl w:ilvl="8">
      <w:numFmt w:val="bullet"/>
      <w:suff w:val="tab"/>
      <w:lvlText w:val="•"/>
      <w:lvlJc w:val="left"/>
      <w:pPr>
        <w:ind w:left="7756" w:hanging="0"/>
      </w:pPr>
      <w:rPr>
        <w:lang w:val="it-it" w:eastAsia="en-us" w:bidi="ar-sa"/>
      </w:rPr>
    </w:lvl>
  </w:abstractNum>
  <w:abstractNum w:abstractNumId="6">
    <w:multiLevelType w:val="hybridMultilevel"/>
    <w:name w:val="Elenco numerato 6"/>
    <w:lvl w:ilvl="0">
      <w:start w:val="1"/>
      <w:numFmt w:val="decimal"/>
      <w:suff w:val="tab"/>
      <w:lvlText w:val="%1."/>
      <w:lvlJc w:val="left"/>
      <w:pPr>
        <w:ind w:left="140" w:hanging="0"/>
      </w:pPr>
      <w:rPr>
        <w:spacing w:val="0" w:percent="100"/>
        <w:w w:val="99"/>
        <w:lang w:val="it-it" w:eastAsia="en-us" w:bidi="ar-sa"/>
      </w:rPr>
    </w:lvl>
    <w:lvl w:ilvl="1">
      <w:start w:val="1"/>
      <w:numFmt w:val="upperLetter"/>
      <w:suff w:val="tab"/>
      <w:lvlText w:val="%2)"/>
      <w:lvlJc w:val="left"/>
      <w:pPr>
        <w:ind w:left="159" w:hanging="0"/>
      </w:pPr>
      <w:rPr>
        <w:rFonts w:ascii="Times New Roman" w:hAnsi="Times New Roman" w:eastAsia="Times New Roman" w:cs="Times New Roman"/>
        <w:b w:val="0"/>
        <w:color w:val="1a1618"/>
        <w:spacing w:val="-1" w:percent="99"/>
        <w:w w:val="100"/>
        <w:sz w:val="22"/>
        <w:szCs w:val="22"/>
        <w:lang w:val="it-it" w:eastAsia="en-us" w:bidi="ar-sa"/>
      </w:rPr>
    </w:lvl>
    <w:lvl w:ilvl="2">
      <w:numFmt w:val="bullet"/>
      <w:suff w:val="tab"/>
      <w:lvlText w:val="•"/>
      <w:lvlJc w:val="left"/>
      <w:pPr>
        <w:ind w:left="1205" w:hanging="0"/>
      </w:pPr>
      <w:rPr>
        <w:lang w:val="it-it" w:eastAsia="en-us" w:bidi="ar-sa"/>
      </w:rPr>
    </w:lvl>
    <w:lvl w:ilvl="3">
      <w:numFmt w:val="bullet"/>
      <w:suff w:val="tab"/>
      <w:lvlText w:val="•"/>
      <w:lvlJc w:val="left"/>
      <w:pPr>
        <w:ind w:left="2251" w:hanging="0"/>
      </w:pPr>
      <w:rPr>
        <w:lang w:val="it-it" w:eastAsia="en-us" w:bidi="ar-sa"/>
      </w:rPr>
    </w:lvl>
    <w:lvl w:ilvl="4">
      <w:numFmt w:val="bullet"/>
      <w:suff w:val="tab"/>
      <w:lvlText w:val="•"/>
      <w:lvlJc w:val="left"/>
      <w:pPr>
        <w:ind w:left="3297" w:hanging="0"/>
      </w:pPr>
      <w:rPr>
        <w:lang w:val="it-it" w:eastAsia="en-us" w:bidi="ar-sa"/>
      </w:rPr>
    </w:lvl>
    <w:lvl w:ilvl="5">
      <w:numFmt w:val="bullet"/>
      <w:suff w:val="tab"/>
      <w:lvlText w:val="•"/>
      <w:lvlJc w:val="left"/>
      <w:pPr>
        <w:ind w:left="4343" w:hanging="0"/>
      </w:pPr>
      <w:rPr>
        <w:lang w:val="it-it" w:eastAsia="en-us" w:bidi="ar-sa"/>
      </w:rPr>
    </w:lvl>
    <w:lvl w:ilvl="6">
      <w:numFmt w:val="bullet"/>
      <w:suff w:val="tab"/>
      <w:lvlText w:val="•"/>
      <w:lvlJc w:val="left"/>
      <w:pPr>
        <w:ind w:left="5390" w:hanging="0"/>
      </w:pPr>
      <w:rPr>
        <w:lang w:val="it-it" w:eastAsia="en-us" w:bidi="ar-sa"/>
      </w:rPr>
    </w:lvl>
    <w:lvl w:ilvl="7">
      <w:numFmt w:val="bullet"/>
      <w:suff w:val="tab"/>
      <w:lvlText w:val="•"/>
      <w:lvlJc w:val="left"/>
      <w:pPr>
        <w:ind w:left="6436" w:hanging="0"/>
      </w:pPr>
      <w:rPr>
        <w:lang w:val="it-it" w:eastAsia="en-us" w:bidi="ar-sa"/>
      </w:rPr>
    </w:lvl>
    <w:lvl w:ilvl="8">
      <w:numFmt w:val="bullet"/>
      <w:suff w:val="tab"/>
      <w:lvlText w:val="•"/>
      <w:lvlJc w:val="left"/>
      <w:pPr>
        <w:ind w:left="7482" w:hanging="0"/>
      </w:pPr>
      <w:rPr>
        <w:lang w:val="it-it" w:eastAsia="en-us" w:bidi="ar-sa"/>
      </w:rPr>
    </w:lvl>
  </w:abstractNum>
  <w:abstractNum w:abstractNumId="7">
    <w:multiLevelType w:val="hybridMultilevel"/>
    <w:name w:val="Elenco numerato 7"/>
    <w:lvl w:ilvl="0">
      <w:numFmt w:val="bullet"/>
      <w:suff w:val="tab"/>
      <w:lvlText w:val="-"/>
      <w:lvlJc w:val="left"/>
      <w:pPr>
        <w:ind w:left="15" w:hanging="0"/>
      </w:pPr>
      <w:rPr>
        <w:rFonts w:ascii="Times New Roman" w:hAnsi="Times New Roman" w:eastAsia="Times New Roman" w:cs="Times New Roman"/>
        <w:b w:val="0"/>
        <w:color w:val="1a1618"/>
        <w:spacing w:val="0" w:percent="100"/>
        <w:w w:val="100"/>
        <w:sz w:val="22"/>
        <w:szCs w:val="22"/>
        <w:lang w:val="it-it" w:eastAsia="en-us" w:bidi="ar-sa"/>
      </w:rPr>
    </w:lvl>
    <w:lvl w:ilvl="1">
      <w:numFmt w:val="bullet"/>
      <w:suff w:val="tab"/>
      <w:lvlText w:val="•"/>
      <w:lvlJc w:val="left"/>
      <w:pPr>
        <w:ind w:left="992" w:hanging="0"/>
      </w:pPr>
      <w:rPr>
        <w:lang w:val="it-it" w:eastAsia="en-us" w:bidi="ar-sa"/>
      </w:rPr>
    </w:lvl>
    <w:lvl w:ilvl="2">
      <w:numFmt w:val="bullet"/>
      <w:suff w:val="tab"/>
      <w:lvlText w:val="•"/>
      <w:lvlJc w:val="left"/>
      <w:pPr>
        <w:ind w:left="1970" w:hanging="0"/>
      </w:pPr>
      <w:rPr>
        <w:lang w:val="it-it" w:eastAsia="en-us" w:bidi="ar-sa"/>
      </w:rPr>
    </w:lvl>
    <w:lvl w:ilvl="3">
      <w:numFmt w:val="bullet"/>
      <w:suff w:val="tab"/>
      <w:lvlText w:val="•"/>
      <w:lvlJc w:val="left"/>
      <w:pPr>
        <w:ind w:left="2947" w:hanging="0"/>
      </w:pPr>
      <w:rPr>
        <w:lang w:val="it-it" w:eastAsia="en-us" w:bidi="ar-sa"/>
      </w:rPr>
    </w:lvl>
    <w:lvl w:ilvl="4">
      <w:numFmt w:val="bullet"/>
      <w:suff w:val="tab"/>
      <w:lvlText w:val="•"/>
      <w:lvlJc w:val="left"/>
      <w:pPr>
        <w:ind w:left="3925" w:hanging="0"/>
      </w:pPr>
      <w:rPr>
        <w:lang w:val="it-it" w:eastAsia="en-us" w:bidi="ar-sa"/>
      </w:rPr>
    </w:lvl>
    <w:lvl w:ilvl="5">
      <w:numFmt w:val="bullet"/>
      <w:suff w:val="tab"/>
      <w:lvlText w:val="•"/>
      <w:lvlJc w:val="left"/>
      <w:pPr>
        <w:ind w:left="4903" w:hanging="0"/>
      </w:pPr>
      <w:rPr>
        <w:lang w:val="it-it" w:eastAsia="en-us" w:bidi="ar-sa"/>
      </w:rPr>
    </w:lvl>
    <w:lvl w:ilvl="6">
      <w:numFmt w:val="bullet"/>
      <w:suff w:val="tab"/>
      <w:lvlText w:val="•"/>
      <w:lvlJc w:val="left"/>
      <w:pPr>
        <w:ind w:left="5880" w:hanging="0"/>
      </w:pPr>
      <w:rPr>
        <w:lang w:val="it-it" w:eastAsia="en-us" w:bidi="ar-sa"/>
      </w:rPr>
    </w:lvl>
    <w:lvl w:ilvl="7">
      <w:numFmt w:val="bullet"/>
      <w:suff w:val="tab"/>
      <w:lvlText w:val="•"/>
      <w:lvlJc w:val="left"/>
      <w:pPr>
        <w:ind w:left="6858" w:hanging="0"/>
      </w:pPr>
      <w:rPr>
        <w:lang w:val="it-it" w:eastAsia="en-us" w:bidi="ar-sa"/>
      </w:rPr>
    </w:lvl>
    <w:lvl w:ilvl="8">
      <w:numFmt w:val="bullet"/>
      <w:suff w:val="tab"/>
      <w:lvlText w:val="•"/>
      <w:lvlJc w:val="left"/>
      <w:pPr>
        <w:ind w:left="7835" w:hanging="0"/>
      </w:pPr>
      <w:rPr>
        <w:lang w:val="it-it" w:eastAsia="en-us" w:bidi="ar-sa"/>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720"/>
  <w:autoHyphenation w:val="0"/>
  <w:doNotShadeFormData w:val="0"/>
  <w:captions>
    <w:caption w:name="Tabella" w:pos="below" w:numFmt="decimal"/>
    <w:caption w:name="Figura" w:pos="below" w:numFmt="decimal"/>
    <w:caption w:name="Immagine"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9"/>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1"/>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11"/>
      <w:tmLastPosIdx w:val="52"/>
    </w:tmLastPosCaret>
    <w:tmLastPosAnchor>
      <w:tmLastPosPgfIdx w:val="0"/>
      <w:tmLastPosIdx w:val="0"/>
    </w:tmLastPosAnchor>
    <w:tmLastPosTblRect w:left="0" w:top="0" w:right="0" w:bottom="0"/>
  </w:tmLastPos>
  <w:tmAppRevision w:date="1770368849" w:val="1224" w:fileVer="342" w:fileVer64="64" w:fileVerOS="1"/>
  <w:guidesAndGrid showGuides="1" lockGuides="0" snapToGuides="1" snapToPageMargins="0"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lang w:val="it-it"/>
    </w:rPr>
  </w:style>
  <w:style w:type="paragraph" w:styleId="para1">
    <w:name w:val="Body Text"/>
    <w:qFormat/>
    <w:basedOn w:val="para0"/>
    <w:pPr>
      <w:ind w:left="140"/>
      <w:spacing/>
      <w:jc w:val="both"/>
    </w:pPr>
  </w:style>
  <w:style w:type="paragraph" w:styleId="para2">
    <w:name w:val="heading 1"/>
    <w:qFormat/>
    <w:basedOn w:val="para0"/>
    <w:pPr>
      <w:ind w:left="379" w:hanging="239"/>
      <w:spacing w:line="275" w:lineRule="exact"/>
      <w:jc w:val="both"/>
      <w:outlineLvl w:val="1"/>
    </w:pPr>
    <w:rPr>
      <w:b/>
      <w:bCs/>
      <w:sz w:val="24"/>
      <w:szCs w:val="24"/>
    </w:rPr>
  </w:style>
  <w:style w:type="paragraph" w:styleId="para3">
    <w:name w:val="heading 2"/>
    <w:qFormat/>
    <w:basedOn w:val="para0"/>
    <w:pPr>
      <w:ind w:left="360" w:hanging="220"/>
      <w:spacing/>
      <w:jc w:val="both"/>
      <w:outlineLvl w:val="2"/>
    </w:pPr>
    <w:rPr>
      <w:b/>
      <w:bCs/>
    </w:rPr>
  </w:style>
  <w:style w:type="paragraph" w:styleId="para4">
    <w:name w:val="Title"/>
    <w:qFormat/>
    <w:basedOn w:val="para0"/>
    <w:pPr>
      <w:ind w:left="140"/>
      <w:spacing w:before="66"/>
    </w:pPr>
    <w:rPr>
      <w:sz w:val="36"/>
      <w:szCs w:val="36"/>
    </w:rPr>
  </w:style>
  <w:style w:type="paragraph" w:styleId="para5">
    <w:name w:val="List Paragraph"/>
    <w:qFormat/>
    <w:basedOn w:val="para0"/>
    <w:pPr>
      <w:ind w:left="379" w:hanging="239"/>
      <w:spacing/>
      <w:jc w:val="both"/>
    </w:pPr>
  </w:style>
  <w:style w:type="paragraph" w:styleId="para6" w:customStyle="1">
    <w:name w:val="Table Paragraph"/>
    <w:qFormat/>
    <w:basedOn w:val="para0"/>
  </w:style>
  <w:style w:type="character" w:styleId="char0" w:default="1">
    <w:name w:val="Default Paragraph Font"/>
  </w:style>
  <w:style w:type="table" w:default="1" w:styleId="TableNormal">
    <w:name w:val="Tabella norma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lang w:val="it-it"/>
    </w:rPr>
  </w:style>
  <w:style w:type="paragraph" w:styleId="para1">
    <w:name w:val="Body Text"/>
    <w:qFormat/>
    <w:basedOn w:val="para0"/>
    <w:pPr>
      <w:ind w:left="140"/>
      <w:spacing/>
      <w:jc w:val="both"/>
    </w:pPr>
  </w:style>
  <w:style w:type="paragraph" w:styleId="para2">
    <w:name w:val="heading 1"/>
    <w:qFormat/>
    <w:basedOn w:val="para0"/>
    <w:pPr>
      <w:ind w:left="379" w:hanging="239"/>
      <w:spacing w:line="275" w:lineRule="exact"/>
      <w:jc w:val="both"/>
      <w:outlineLvl w:val="1"/>
    </w:pPr>
    <w:rPr>
      <w:b/>
      <w:bCs/>
      <w:sz w:val="24"/>
      <w:szCs w:val="24"/>
    </w:rPr>
  </w:style>
  <w:style w:type="paragraph" w:styleId="para3">
    <w:name w:val="heading 2"/>
    <w:qFormat/>
    <w:basedOn w:val="para0"/>
    <w:pPr>
      <w:ind w:left="360" w:hanging="220"/>
      <w:spacing/>
      <w:jc w:val="both"/>
      <w:outlineLvl w:val="2"/>
    </w:pPr>
    <w:rPr>
      <w:b/>
      <w:bCs/>
    </w:rPr>
  </w:style>
  <w:style w:type="paragraph" w:styleId="para4">
    <w:name w:val="Title"/>
    <w:qFormat/>
    <w:basedOn w:val="para0"/>
    <w:pPr>
      <w:ind w:left="140"/>
      <w:spacing w:before="66"/>
    </w:pPr>
    <w:rPr>
      <w:sz w:val="36"/>
      <w:szCs w:val="36"/>
    </w:rPr>
  </w:style>
  <w:style w:type="paragraph" w:styleId="para5">
    <w:name w:val="List Paragraph"/>
    <w:qFormat/>
    <w:basedOn w:val="para0"/>
    <w:pPr>
      <w:ind w:left="379" w:hanging="239"/>
      <w:spacing/>
      <w:jc w:val="both"/>
    </w:pPr>
  </w:style>
  <w:style w:type="paragraph" w:styleId="para6" w:customStyle="1">
    <w:name w:val="Table Paragraph"/>
    <w:qFormat/>
    <w:basedOn w:val="para0"/>
  </w:style>
  <w:style w:type="character" w:styleId="char0" w:default="1">
    <w:name w:val="Default Paragraph Font"/>
  </w:style>
  <w:style w:type="table" w:default="1" w:styleId="TableNormal">
    <w:name w:val="Tabella norma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CT_preliminaredicompravenditaimmobiliare</dc:title>
  <dc:subject/>
  <dc:creator>dimauro</dc:creator>
  <cp:keywords/>
  <dc:description/>
  <cp:lastModifiedBy/>
  <cp:revision>1</cp:revision>
  <dcterms:created xsi:type="dcterms:W3CDTF">2026-02-06T09:07:29Z</dcterms:created>
  <dcterms:modified xsi:type="dcterms:W3CDTF">2026-02-06T09:07:29Z</dcterms:modified>
</cp:coreProperties>
</file>